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74C3E" w14:textId="77777777" w:rsidR="000E1C0A" w:rsidRPr="000E1C0A" w:rsidRDefault="000E1C0A" w:rsidP="000E1C0A">
      <w:pPr>
        <w:pStyle w:val="Kopfzeile"/>
        <w:tabs>
          <w:tab w:val="clear" w:pos="4536"/>
          <w:tab w:val="clear" w:pos="9072"/>
          <w:tab w:val="left" w:pos="1276"/>
        </w:tabs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00564FC" w14:textId="76216C9F" w:rsidR="0035328E" w:rsidRDefault="0035328E" w:rsidP="00E5607B">
      <w:pPr>
        <w:pStyle w:val="Textkrper"/>
        <w:tabs>
          <w:tab w:val="left" w:pos="1489"/>
        </w:tabs>
        <w:ind w:left="71"/>
        <w:rPr>
          <w:spacing w:val="-1"/>
        </w:rPr>
      </w:pPr>
    </w:p>
    <w:p w14:paraId="7B510BD7" w14:textId="78464613" w:rsidR="0046479C" w:rsidRPr="008C15E4" w:rsidRDefault="0046479C" w:rsidP="0046479C">
      <w:pPr>
        <w:pStyle w:val="Textkrper"/>
        <w:tabs>
          <w:tab w:val="left" w:pos="1489"/>
        </w:tabs>
        <w:spacing w:after="120" w:line="240" w:lineRule="auto"/>
        <w:ind w:left="74"/>
        <w:rPr>
          <w:b/>
          <w:spacing w:val="-1"/>
          <w:u w:val="single"/>
        </w:rPr>
      </w:pPr>
      <w:r w:rsidRPr="008C15E4">
        <w:rPr>
          <w:b/>
          <w:spacing w:val="-1"/>
          <w:u w:val="single"/>
        </w:rPr>
        <w:t>Allgemein:</w:t>
      </w:r>
    </w:p>
    <w:p w14:paraId="46FC0AE5" w14:textId="7239AA72" w:rsidR="007A4477" w:rsidRDefault="0046479C" w:rsidP="000F4CFF">
      <w:pPr>
        <w:pStyle w:val="Textkrper"/>
        <w:tabs>
          <w:tab w:val="left" w:pos="1489"/>
        </w:tabs>
        <w:spacing w:after="120"/>
        <w:ind w:left="74"/>
        <w:rPr>
          <w:spacing w:val="-1"/>
        </w:rPr>
      </w:pPr>
      <w:r>
        <w:rPr>
          <w:spacing w:val="-1"/>
        </w:rPr>
        <w:t xml:space="preserve">Der WVER </w:t>
      </w:r>
      <w:r w:rsidR="00EB046E">
        <w:rPr>
          <w:spacing w:val="-1"/>
        </w:rPr>
        <w:t xml:space="preserve">begrüßt </w:t>
      </w:r>
      <w:r>
        <w:rPr>
          <w:spacing w:val="-1"/>
        </w:rPr>
        <w:t>d</w:t>
      </w:r>
      <w:r w:rsidR="00EB046E">
        <w:rPr>
          <w:spacing w:val="-1"/>
        </w:rPr>
        <w:t>ie</w:t>
      </w:r>
      <w:r>
        <w:rPr>
          <w:spacing w:val="-1"/>
        </w:rPr>
        <w:t xml:space="preserve"> gegenwärtige</w:t>
      </w:r>
      <w:r w:rsidR="00221E0D">
        <w:rPr>
          <w:spacing w:val="-1"/>
        </w:rPr>
        <w:t xml:space="preserve"> </w:t>
      </w:r>
      <w:r w:rsidR="00AF3C12">
        <w:rPr>
          <w:spacing w:val="-1"/>
        </w:rPr>
        <w:t>Entwurfsf</w:t>
      </w:r>
      <w:r w:rsidR="00221E0D">
        <w:rPr>
          <w:spacing w:val="-1"/>
        </w:rPr>
        <w:t xml:space="preserve">assung </w:t>
      </w:r>
      <w:r w:rsidR="00AF3C12">
        <w:rPr>
          <w:spacing w:val="-1"/>
        </w:rPr>
        <w:t xml:space="preserve">eines novellierten </w:t>
      </w:r>
      <w:r w:rsidR="00221E0D">
        <w:rPr>
          <w:spacing w:val="-1"/>
        </w:rPr>
        <w:t>LWG im We</w:t>
      </w:r>
      <w:r w:rsidR="0003337C">
        <w:rPr>
          <w:spacing w:val="-1"/>
        </w:rPr>
        <w:softHyphen/>
      </w:r>
      <w:r w:rsidR="00221E0D">
        <w:rPr>
          <w:spacing w:val="-1"/>
        </w:rPr>
        <w:t>sentlichen.</w:t>
      </w:r>
      <w:r>
        <w:rPr>
          <w:spacing w:val="-1"/>
        </w:rPr>
        <w:t xml:space="preserve"> </w:t>
      </w:r>
      <w:r w:rsidR="00976C47">
        <w:rPr>
          <w:spacing w:val="-1"/>
        </w:rPr>
        <w:t xml:space="preserve">Dies betrifft </w:t>
      </w:r>
      <w:r w:rsidR="000F4CFF">
        <w:rPr>
          <w:spacing w:val="-1"/>
        </w:rPr>
        <w:t xml:space="preserve">insbesondere </w:t>
      </w:r>
      <w:proofErr w:type="gramStart"/>
      <w:r w:rsidR="00976C47">
        <w:rPr>
          <w:spacing w:val="-1"/>
        </w:rPr>
        <w:t>den deutlich</w:t>
      </w:r>
      <w:r w:rsidR="007A4477">
        <w:rPr>
          <w:spacing w:val="-1"/>
        </w:rPr>
        <w:t xml:space="preserve">er </w:t>
      </w:r>
      <w:r w:rsidR="00976C47">
        <w:rPr>
          <w:spacing w:val="-1"/>
        </w:rPr>
        <w:t>her</w:t>
      </w:r>
      <w:r w:rsidR="000F4CFF">
        <w:rPr>
          <w:spacing w:val="-1"/>
        </w:rPr>
        <w:t>aus</w:t>
      </w:r>
      <w:r w:rsidR="007A4477">
        <w:rPr>
          <w:spacing w:val="-1"/>
        </w:rPr>
        <w:t xml:space="preserve"> </w:t>
      </w:r>
      <w:r w:rsidR="00976C47">
        <w:rPr>
          <w:spacing w:val="-1"/>
        </w:rPr>
        <w:t>gehobenen Vorrang</w:t>
      </w:r>
      <w:proofErr w:type="gramEnd"/>
      <w:r w:rsidR="00976C47">
        <w:rPr>
          <w:spacing w:val="-1"/>
        </w:rPr>
        <w:t xml:space="preserve"> der Trinkwasserversorgung oder </w:t>
      </w:r>
      <w:r w:rsidR="000F4CFF">
        <w:rPr>
          <w:spacing w:val="-1"/>
        </w:rPr>
        <w:t xml:space="preserve">auch </w:t>
      </w:r>
      <w:r w:rsidR="00976C47">
        <w:rPr>
          <w:spacing w:val="-1"/>
        </w:rPr>
        <w:t xml:space="preserve">die </w:t>
      </w:r>
      <w:r w:rsidR="000F4CFF">
        <w:rPr>
          <w:spacing w:val="-1"/>
        </w:rPr>
        <w:t xml:space="preserve">Beibehaltung und Fortentwicklung </w:t>
      </w:r>
      <w:r w:rsidR="00976C47">
        <w:rPr>
          <w:spacing w:val="-1"/>
        </w:rPr>
        <w:t xml:space="preserve">kooperativer </w:t>
      </w:r>
      <w:r w:rsidR="00AD2B2D">
        <w:rPr>
          <w:spacing w:val="-1"/>
        </w:rPr>
        <w:t>Modelle</w:t>
      </w:r>
      <w:r w:rsidR="000D12E2">
        <w:rPr>
          <w:spacing w:val="-1"/>
        </w:rPr>
        <w:t xml:space="preserve"> in der Wasserwirtschaft</w:t>
      </w:r>
      <w:r w:rsidR="00976C47">
        <w:rPr>
          <w:spacing w:val="-1"/>
        </w:rPr>
        <w:t xml:space="preserve">. </w:t>
      </w:r>
    </w:p>
    <w:p w14:paraId="1559A418" w14:textId="6F91C9EA" w:rsidR="000F4CFF" w:rsidRPr="000F4CFF" w:rsidRDefault="00EB046E" w:rsidP="000F4CFF">
      <w:pPr>
        <w:pStyle w:val="Textkrper"/>
        <w:tabs>
          <w:tab w:val="left" w:pos="1489"/>
        </w:tabs>
        <w:spacing w:after="120"/>
        <w:ind w:left="74"/>
        <w:rPr>
          <w:spacing w:val="-1"/>
        </w:rPr>
      </w:pPr>
      <w:r>
        <w:rPr>
          <w:spacing w:val="-1"/>
        </w:rPr>
        <w:t xml:space="preserve">An einigen Stellen führt </w:t>
      </w:r>
      <w:r w:rsidR="00AC0DF3">
        <w:rPr>
          <w:spacing w:val="-1"/>
        </w:rPr>
        <w:t xml:space="preserve">allerdings </w:t>
      </w:r>
      <w:r>
        <w:rPr>
          <w:spacing w:val="-1"/>
        </w:rPr>
        <w:t xml:space="preserve">das Bestreben, Vorschriften zu deregulieren dazu, wichtige </w:t>
      </w:r>
      <w:r w:rsidR="00AD2B2D">
        <w:rPr>
          <w:spacing w:val="-1"/>
        </w:rPr>
        <w:t>Regelungsi</w:t>
      </w:r>
      <w:r>
        <w:rPr>
          <w:spacing w:val="-1"/>
        </w:rPr>
        <w:t xml:space="preserve">nhalte zu beeinträchtigen. </w:t>
      </w:r>
      <w:r w:rsidR="000F4CFF" w:rsidRPr="000F4CFF">
        <w:rPr>
          <w:spacing w:val="-1"/>
        </w:rPr>
        <w:t>Die</w:t>
      </w:r>
      <w:r w:rsidR="00F82FC3">
        <w:rPr>
          <w:spacing w:val="-1"/>
        </w:rPr>
        <w:t>s</w:t>
      </w:r>
      <w:r w:rsidR="000F4CFF">
        <w:rPr>
          <w:spacing w:val="-1"/>
        </w:rPr>
        <w:t xml:space="preserve"> gilt etwa für </w:t>
      </w:r>
      <w:r w:rsidR="00384430">
        <w:rPr>
          <w:spacing w:val="-1"/>
        </w:rPr>
        <w:t>das Streichen von Befristungsregelungen im Bereich der Anlagengeneh</w:t>
      </w:r>
      <w:r w:rsidR="0003337C">
        <w:rPr>
          <w:spacing w:val="-1"/>
        </w:rPr>
        <w:softHyphen/>
      </w:r>
      <w:r w:rsidR="00384430">
        <w:rPr>
          <w:spacing w:val="-1"/>
        </w:rPr>
        <w:t xml:space="preserve">migungen oder auch </w:t>
      </w:r>
      <w:r w:rsidR="000F4CFF">
        <w:rPr>
          <w:spacing w:val="-1"/>
        </w:rPr>
        <w:t>den Wegfall der Pflicht</w:t>
      </w:r>
      <w:r w:rsidR="000F4CFF" w:rsidRPr="000F4CFF">
        <w:rPr>
          <w:spacing w:val="-1"/>
        </w:rPr>
        <w:t xml:space="preserve">, beim Bau und Betrieb von verschiedenen Anlagen auf einen effizienten Einsatz von Ressourcen und Energie zu achten (§§ 25, 40 Absatz 2, Satz 1; 56 Absatz 1, Satz 4; 76 Absatz 1, Satz. 5). </w:t>
      </w:r>
      <w:r w:rsidR="00C66A35">
        <w:rPr>
          <w:spacing w:val="-1"/>
        </w:rPr>
        <w:t xml:space="preserve">Eine Beibehaltung dieser Pflicht wird als notwendig angesehen, um einen Beitrag der Wasserwirtschaft zur Einhaltung der Klimaziele zu gewährleisten. </w:t>
      </w:r>
      <w:r w:rsidR="00F82FC3">
        <w:rPr>
          <w:spacing w:val="-1"/>
        </w:rPr>
        <w:t xml:space="preserve">In dem Entwurf findet sich </w:t>
      </w:r>
      <w:r w:rsidR="00221E0D">
        <w:rPr>
          <w:spacing w:val="-1"/>
        </w:rPr>
        <w:t>überdies kein</w:t>
      </w:r>
      <w:r w:rsidR="00F82FC3">
        <w:rPr>
          <w:spacing w:val="-1"/>
        </w:rPr>
        <w:t xml:space="preserve"> Hinweis zum Nachhaltigkeitsgrundsatz in der Gewässerbewirtschaftung, so wie er </w:t>
      </w:r>
      <w:r w:rsidR="00352E17">
        <w:rPr>
          <w:spacing w:val="-1"/>
        </w:rPr>
        <w:t>nach</w:t>
      </w:r>
      <w:r w:rsidR="00F82FC3">
        <w:rPr>
          <w:spacing w:val="-1"/>
        </w:rPr>
        <w:t xml:space="preserve"> § 6 WHG </w:t>
      </w:r>
      <w:r w:rsidR="00352E17">
        <w:rPr>
          <w:spacing w:val="-1"/>
        </w:rPr>
        <w:t>in</w:t>
      </w:r>
      <w:r w:rsidR="00F82FC3">
        <w:rPr>
          <w:spacing w:val="-1"/>
        </w:rPr>
        <w:t xml:space="preserve"> den Bewirtschaftungsgrundsätzen angelegt ist.</w:t>
      </w:r>
    </w:p>
    <w:p w14:paraId="0B7072B7" w14:textId="025B0794" w:rsidR="0046479C" w:rsidRDefault="00AD2B2D" w:rsidP="000F4CFF">
      <w:pPr>
        <w:pStyle w:val="Textkrper"/>
        <w:tabs>
          <w:tab w:val="left" w:pos="1489"/>
        </w:tabs>
        <w:spacing w:after="120" w:line="240" w:lineRule="auto"/>
        <w:ind w:left="74"/>
        <w:rPr>
          <w:spacing w:val="-1"/>
        </w:rPr>
      </w:pPr>
      <w:r>
        <w:rPr>
          <w:spacing w:val="-1"/>
        </w:rPr>
        <w:t>A</w:t>
      </w:r>
      <w:r w:rsidR="0046479C">
        <w:rPr>
          <w:spacing w:val="-1"/>
        </w:rPr>
        <w:t xml:space="preserve">n einigen Stellen </w:t>
      </w:r>
      <w:r>
        <w:rPr>
          <w:spacing w:val="-1"/>
        </w:rPr>
        <w:t xml:space="preserve">haben wir an dem bestehenden LWG, das 2016 novelliert </w:t>
      </w:r>
      <w:r w:rsidR="00221E0D">
        <w:rPr>
          <w:spacing w:val="-1"/>
        </w:rPr>
        <w:t>wurde, punktuellen</w:t>
      </w:r>
      <w:r w:rsidR="00C66A35">
        <w:rPr>
          <w:spacing w:val="-1"/>
        </w:rPr>
        <w:t xml:space="preserve"> </w:t>
      </w:r>
      <w:r w:rsidR="0046479C">
        <w:rPr>
          <w:spacing w:val="-1"/>
        </w:rPr>
        <w:t>Änderungsbedarf</w:t>
      </w:r>
      <w:r>
        <w:rPr>
          <w:spacing w:val="-1"/>
        </w:rPr>
        <w:t xml:space="preserve"> gesehen</w:t>
      </w:r>
      <w:r w:rsidR="0046479C">
        <w:rPr>
          <w:spacing w:val="-1"/>
        </w:rPr>
        <w:t>. Die gewünschten Änderungen sind teilweise bereits in dem aktuellen Gesetzentwurf (Stand Mai 2020</w:t>
      </w:r>
      <w:r w:rsidR="0048133B">
        <w:rPr>
          <w:spacing w:val="-1"/>
        </w:rPr>
        <w:t xml:space="preserve">) </w:t>
      </w:r>
      <w:r w:rsidR="0046479C">
        <w:rPr>
          <w:spacing w:val="-1"/>
        </w:rPr>
        <w:t>enthalten, weshalb wir die</w:t>
      </w:r>
      <w:r w:rsidR="0003337C">
        <w:rPr>
          <w:spacing w:val="-1"/>
        </w:rPr>
        <w:softHyphen/>
      </w:r>
      <w:r w:rsidR="0046479C">
        <w:rPr>
          <w:spacing w:val="-1"/>
        </w:rPr>
        <w:t xml:space="preserve">sen </w:t>
      </w:r>
      <w:r>
        <w:rPr>
          <w:spacing w:val="-1"/>
        </w:rPr>
        <w:t>auch insofern</w:t>
      </w:r>
      <w:r w:rsidR="0046479C">
        <w:rPr>
          <w:spacing w:val="-1"/>
        </w:rPr>
        <w:t xml:space="preserve"> be</w:t>
      </w:r>
      <w:r>
        <w:rPr>
          <w:spacing w:val="-1"/>
        </w:rPr>
        <w:t>fürworten</w:t>
      </w:r>
      <w:r w:rsidR="0046479C">
        <w:rPr>
          <w:spacing w:val="-1"/>
        </w:rPr>
        <w:t>.</w:t>
      </w:r>
    </w:p>
    <w:p w14:paraId="735C5895" w14:textId="0FB328D5" w:rsidR="0048133B" w:rsidRDefault="0048133B" w:rsidP="0046479C">
      <w:pPr>
        <w:pStyle w:val="Textkrper"/>
        <w:tabs>
          <w:tab w:val="left" w:pos="1489"/>
        </w:tabs>
        <w:spacing w:after="120" w:line="240" w:lineRule="auto"/>
        <w:ind w:left="74"/>
        <w:rPr>
          <w:spacing w:val="-1"/>
        </w:rPr>
      </w:pPr>
      <w:r>
        <w:rPr>
          <w:spacing w:val="-1"/>
        </w:rPr>
        <w:t>Im Folgenden finden sich sowohl die aus unserer Sicht begrüßenswert hervorzuhe</w:t>
      </w:r>
      <w:r w:rsidR="0003337C">
        <w:rPr>
          <w:spacing w:val="-1"/>
        </w:rPr>
        <w:softHyphen/>
      </w:r>
      <w:r>
        <w:rPr>
          <w:spacing w:val="-1"/>
        </w:rPr>
        <w:t>benden Regelungen als auch solche, bei denen der WVER einen Änderungsvorschlag unterbreiten möchte.</w:t>
      </w:r>
    </w:p>
    <w:p w14:paraId="4BE10E35" w14:textId="13EAF63A" w:rsidR="0048133B" w:rsidRDefault="0048133B" w:rsidP="0046479C">
      <w:pPr>
        <w:pStyle w:val="Textkrper"/>
        <w:tabs>
          <w:tab w:val="left" w:pos="1489"/>
        </w:tabs>
        <w:spacing w:after="120" w:line="240" w:lineRule="auto"/>
        <w:ind w:left="74"/>
        <w:rPr>
          <w:spacing w:val="-1"/>
        </w:rPr>
      </w:pPr>
    </w:p>
    <w:tbl>
      <w:tblPr>
        <w:tblStyle w:val="Gitternetztabelle4"/>
        <w:tblW w:w="9067" w:type="dxa"/>
        <w:tblLook w:val="04A0" w:firstRow="1" w:lastRow="0" w:firstColumn="1" w:lastColumn="0" w:noHBand="0" w:noVBand="1"/>
      </w:tblPr>
      <w:tblGrid>
        <w:gridCol w:w="3816"/>
        <w:gridCol w:w="5251"/>
      </w:tblGrid>
      <w:tr w:rsidR="0048133B" w14:paraId="5E9B71B3" w14:textId="77777777" w:rsidTr="009D01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6" w:type="dxa"/>
          </w:tcPr>
          <w:p w14:paraId="5D9ADEE1" w14:textId="04A805B9" w:rsidR="0048133B" w:rsidRDefault="0048133B" w:rsidP="008C15E4">
            <w:pPr>
              <w:pStyle w:val="Textkrper"/>
              <w:tabs>
                <w:tab w:val="left" w:pos="1489"/>
              </w:tabs>
              <w:spacing w:after="120" w:line="240" w:lineRule="auto"/>
              <w:jc w:val="left"/>
              <w:rPr>
                <w:spacing w:val="-1"/>
              </w:rPr>
            </w:pPr>
            <w:r w:rsidRPr="0048133B">
              <w:rPr>
                <w:color w:val="FFFFFF" w:themeColor="background1"/>
                <w:spacing w:val="-1"/>
              </w:rPr>
              <w:t>Gesetzentwurf</w:t>
            </w:r>
          </w:p>
        </w:tc>
        <w:tc>
          <w:tcPr>
            <w:tcW w:w="5251" w:type="dxa"/>
          </w:tcPr>
          <w:p w14:paraId="19654F2F" w14:textId="1C01078A" w:rsidR="0048133B" w:rsidRDefault="0048133B" w:rsidP="0046479C">
            <w:pPr>
              <w:pStyle w:val="Textkrper"/>
              <w:tabs>
                <w:tab w:val="left" w:pos="1489"/>
              </w:tabs>
              <w:spacing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  <w:r w:rsidRPr="0048133B">
              <w:rPr>
                <w:color w:val="FFFFFF" w:themeColor="background1"/>
                <w:spacing w:val="-1"/>
              </w:rPr>
              <w:t>Erläuterung der Position des WVER</w:t>
            </w:r>
          </w:p>
        </w:tc>
      </w:tr>
      <w:tr w:rsidR="0048133B" w14:paraId="05AE2F54" w14:textId="77777777" w:rsidTr="009D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6" w:type="dxa"/>
          </w:tcPr>
          <w:p w14:paraId="57E4BF80" w14:textId="77777777" w:rsidR="0048133B" w:rsidRDefault="00195432" w:rsidP="008C15E4">
            <w:pPr>
              <w:pStyle w:val="Textkrper"/>
              <w:tabs>
                <w:tab w:val="left" w:pos="1489"/>
              </w:tabs>
              <w:spacing w:after="120" w:line="240" w:lineRule="auto"/>
              <w:jc w:val="left"/>
              <w:rPr>
                <w:spacing w:val="-1"/>
              </w:rPr>
            </w:pPr>
            <w:r>
              <w:rPr>
                <w:spacing w:val="-1"/>
              </w:rPr>
              <w:t>§ 14 LWG-E</w:t>
            </w:r>
          </w:p>
          <w:p w14:paraId="254D6C8D" w14:textId="4C827390" w:rsidR="00195432" w:rsidRDefault="00195432" w:rsidP="008C15E4">
            <w:pPr>
              <w:pStyle w:val="Textkrper"/>
              <w:tabs>
                <w:tab w:val="left" w:pos="1489"/>
              </w:tabs>
              <w:spacing w:after="120" w:line="240" w:lineRule="auto"/>
              <w:jc w:val="left"/>
              <w:rPr>
                <w:spacing w:val="-1"/>
              </w:rPr>
            </w:pPr>
            <w:r>
              <w:rPr>
                <w:spacing w:val="-1"/>
              </w:rPr>
              <w:t>Gehobene Erlaubnis</w:t>
            </w:r>
          </w:p>
        </w:tc>
        <w:tc>
          <w:tcPr>
            <w:tcW w:w="5251" w:type="dxa"/>
          </w:tcPr>
          <w:p w14:paraId="7316D929" w14:textId="0541013F" w:rsidR="0048133B" w:rsidRDefault="00195432" w:rsidP="0046479C">
            <w:pPr>
              <w:pStyle w:val="Textkrper"/>
              <w:tabs>
                <w:tab w:val="left" w:pos="1489"/>
              </w:tabs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  <w:r>
              <w:rPr>
                <w:spacing w:val="-1"/>
              </w:rPr>
              <w:t>Der WVER sieht die Streichung des Verweises auf § 14 Abs. 2 WHG und mithin die Streichung der Pflicht zur Befristung der gehobenen Erlaub</w:t>
            </w:r>
            <w:r w:rsidR="0003337C">
              <w:rPr>
                <w:spacing w:val="-1"/>
              </w:rPr>
              <w:softHyphen/>
            </w:r>
            <w:r>
              <w:rPr>
                <w:spacing w:val="-1"/>
              </w:rPr>
              <w:t>nis kritisch.</w:t>
            </w:r>
          </w:p>
          <w:p w14:paraId="13CE7D16" w14:textId="254B047B" w:rsidR="00195432" w:rsidRDefault="00195432" w:rsidP="0046479C">
            <w:pPr>
              <w:pStyle w:val="Textkrper"/>
              <w:tabs>
                <w:tab w:val="left" w:pos="1489"/>
              </w:tabs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  <w:r>
              <w:rPr>
                <w:spacing w:val="-1"/>
              </w:rPr>
              <w:t>Der WVER ist insofern grundsätzlich der An</w:t>
            </w:r>
            <w:r w:rsidR="0003337C">
              <w:rPr>
                <w:spacing w:val="-1"/>
              </w:rPr>
              <w:softHyphen/>
            </w:r>
            <w:r>
              <w:rPr>
                <w:spacing w:val="-1"/>
              </w:rPr>
              <w:t xml:space="preserve">sicht, dass weiterhin alle </w:t>
            </w:r>
            <w:r w:rsidR="00384430">
              <w:rPr>
                <w:spacing w:val="-1"/>
              </w:rPr>
              <w:t>Erlaubnisse zur Ge</w:t>
            </w:r>
            <w:r w:rsidR="0003337C">
              <w:rPr>
                <w:spacing w:val="-1"/>
              </w:rPr>
              <w:softHyphen/>
            </w:r>
            <w:r w:rsidR="00384430">
              <w:rPr>
                <w:spacing w:val="-1"/>
              </w:rPr>
              <w:t>wässerbenutzung</w:t>
            </w:r>
            <w:r>
              <w:rPr>
                <w:spacing w:val="-1"/>
              </w:rPr>
              <w:t xml:space="preserve"> befristet erteilt werden sollten, da gerade in und am Gewässer die Entwicklun</w:t>
            </w:r>
            <w:r w:rsidR="0003337C">
              <w:rPr>
                <w:spacing w:val="-1"/>
              </w:rPr>
              <w:softHyphen/>
            </w:r>
            <w:r>
              <w:rPr>
                <w:spacing w:val="-1"/>
              </w:rPr>
              <w:t>gen dynamisch sind, dem Gewässerschutz die</w:t>
            </w:r>
            <w:r w:rsidR="0003337C">
              <w:rPr>
                <w:spacing w:val="-1"/>
              </w:rPr>
              <w:softHyphen/>
            </w:r>
            <w:r>
              <w:rPr>
                <w:spacing w:val="-1"/>
              </w:rPr>
              <w:t xml:space="preserve">nende neue Erkenntnisse fortlaufend gewonnen werden und </w:t>
            </w:r>
            <w:r w:rsidR="00E55B8B">
              <w:rPr>
                <w:spacing w:val="-1"/>
              </w:rPr>
              <w:t xml:space="preserve">nur </w:t>
            </w:r>
            <w:r>
              <w:rPr>
                <w:spacing w:val="-1"/>
              </w:rPr>
              <w:t>durch befri</w:t>
            </w:r>
            <w:r w:rsidR="00E55B8B">
              <w:rPr>
                <w:spacing w:val="-1"/>
              </w:rPr>
              <w:t xml:space="preserve">stete </w:t>
            </w:r>
            <w:r w:rsidR="00384430">
              <w:rPr>
                <w:spacing w:val="-1"/>
              </w:rPr>
              <w:t>Erlaubnisse</w:t>
            </w:r>
            <w:r w:rsidR="00E55B8B">
              <w:rPr>
                <w:spacing w:val="-1"/>
              </w:rPr>
              <w:t xml:space="preserve"> eine regelmäßige Untersuchung</w:t>
            </w:r>
            <w:r>
              <w:rPr>
                <w:spacing w:val="-1"/>
              </w:rPr>
              <w:t xml:space="preserve"> auf veränderte Erfordernisse sichergestellt wird.</w:t>
            </w:r>
          </w:p>
          <w:p w14:paraId="264A265B" w14:textId="4A12D0E4" w:rsidR="00E55B8B" w:rsidRDefault="00E55B8B" w:rsidP="0046479C">
            <w:pPr>
              <w:pStyle w:val="Textkrper"/>
              <w:tabs>
                <w:tab w:val="left" w:pos="1489"/>
              </w:tabs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  <w:r>
              <w:rPr>
                <w:spacing w:val="-1"/>
              </w:rPr>
              <w:t>Auch mit Blick auf die gehobene Erlaubnis zei</w:t>
            </w:r>
            <w:r w:rsidR="0003337C">
              <w:rPr>
                <w:spacing w:val="-1"/>
              </w:rPr>
              <w:softHyphen/>
            </w:r>
            <w:r>
              <w:rPr>
                <w:spacing w:val="-1"/>
              </w:rPr>
              <w:t>gen Erfahrungen aus der Praxis, dass unbefris</w:t>
            </w:r>
            <w:r w:rsidR="0003337C">
              <w:rPr>
                <w:spacing w:val="-1"/>
              </w:rPr>
              <w:softHyphen/>
            </w:r>
            <w:r>
              <w:rPr>
                <w:spacing w:val="-1"/>
              </w:rPr>
              <w:t xml:space="preserve">tete </w:t>
            </w:r>
            <w:r w:rsidR="00384430">
              <w:rPr>
                <w:spacing w:val="-1"/>
              </w:rPr>
              <w:t xml:space="preserve">Benutzungserlaubnisse und </w:t>
            </w:r>
            <w:r>
              <w:rPr>
                <w:spacing w:val="-1"/>
              </w:rPr>
              <w:t>Wasserrechte gewünschte Entwicklungen erschweren können.</w:t>
            </w:r>
          </w:p>
        </w:tc>
      </w:tr>
      <w:tr w:rsidR="0048133B" w14:paraId="62F71779" w14:textId="77777777" w:rsidTr="009D01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6" w:type="dxa"/>
          </w:tcPr>
          <w:p w14:paraId="6B7C8330" w14:textId="77777777" w:rsidR="0048133B" w:rsidRDefault="008C15E4" w:rsidP="008C15E4">
            <w:pPr>
              <w:pStyle w:val="Textkrper"/>
              <w:tabs>
                <w:tab w:val="left" w:pos="1489"/>
              </w:tabs>
              <w:spacing w:after="120" w:line="240" w:lineRule="auto"/>
              <w:jc w:val="left"/>
              <w:rPr>
                <w:spacing w:val="-1"/>
              </w:rPr>
            </w:pPr>
            <w:r>
              <w:rPr>
                <w:spacing w:val="-1"/>
              </w:rPr>
              <w:lastRenderedPageBreak/>
              <w:t>§ 22 Abs. 3 LWG-E</w:t>
            </w:r>
          </w:p>
          <w:p w14:paraId="065A5AD3" w14:textId="4C01DD75" w:rsidR="008C15E4" w:rsidRDefault="008C15E4" w:rsidP="008C15E4">
            <w:pPr>
              <w:pStyle w:val="Textkrper"/>
              <w:tabs>
                <w:tab w:val="left" w:pos="1489"/>
              </w:tabs>
              <w:spacing w:after="120" w:line="240" w:lineRule="auto"/>
              <w:jc w:val="left"/>
              <w:rPr>
                <w:spacing w:val="-1"/>
              </w:rPr>
            </w:pPr>
            <w:r>
              <w:rPr>
                <w:spacing w:val="-1"/>
              </w:rPr>
              <w:t>Genehmigung von Anlagen in, an, über und unter oberirdi</w:t>
            </w:r>
            <w:r w:rsidR="0003337C">
              <w:rPr>
                <w:spacing w:val="-1"/>
              </w:rPr>
              <w:softHyphen/>
            </w:r>
            <w:r>
              <w:rPr>
                <w:spacing w:val="-1"/>
              </w:rPr>
              <w:t>schen Gewässern</w:t>
            </w:r>
          </w:p>
        </w:tc>
        <w:tc>
          <w:tcPr>
            <w:tcW w:w="5251" w:type="dxa"/>
          </w:tcPr>
          <w:p w14:paraId="4319F000" w14:textId="3EEC8164" w:rsidR="00C2045B" w:rsidRDefault="008C15E4" w:rsidP="0046479C">
            <w:pPr>
              <w:pStyle w:val="Textkrper"/>
              <w:tabs>
                <w:tab w:val="left" w:pos="1489"/>
              </w:tabs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  <w:r>
              <w:rPr>
                <w:spacing w:val="-1"/>
              </w:rPr>
              <w:t xml:space="preserve">Der WVER sieht die </w:t>
            </w:r>
            <w:r w:rsidR="00885A8D">
              <w:rPr>
                <w:spacing w:val="-1"/>
              </w:rPr>
              <w:t>aus Gründen der Deregu</w:t>
            </w:r>
            <w:r w:rsidR="0003337C">
              <w:rPr>
                <w:spacing w:val="-1"/>
              </w:rPr>
              <w:softHyphen/>
            </w:r>
            <w:r w:rsidR="00885A8D">
              <w:rPr>
                <w:spacing w:val="-1"/>
              </w:rPr>
              <w:t xml:space="preserve">lierung veranlasste </w:t>
            </w:r>
            <w:r>
              <w:rPr>
                <w:spacing w:val="-1"/>
              </w:rPr>
              <w:t>Neuregelung (Streichung der grundsätzlichen Befristung von Anlagenge</w:t>
            </w:r>
            <w:r w:rsidR="0003337C">
              <w:rPr>
                <w:spacing w:val="-1"/>
              </w:rPr>
              <w:softHyphen/>
            </w:r>
            <w:r>
              <w:rPr>
                <w:spacing w:val="-1"/>
              </w:rPr>
              <w:t xml:space="preserve">nehmigungen) kritisch. </w:t>
            </w:r>
          </w:p>
          <w:p w14:paraId="37456C83" w14:textId="0388801B" w:rsidR="00C2045B" w:rsidRDefault="0097658E" w:rsidP="0046479C">
            <w:pPr>
              <w:pStyle w:val="Textkrper"/>
              <w:tabs>
                <w:tab w:val="left" w:pos="1489"/>
              </w:tabs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  <w:r>
              <w:rPr>
                <w:spacing w:val="-1"/>
              </w:rPr>
              <w:t>Die in der Gesetzesbegründung zutreffend ge</w:t>
            </w:r>
            <w:r w:rsidR="0003337C">
              <w:rPr>
                <w:spacing w:val="-1"/>
              </w:rPr>
              <w:softHyphen/>
            </w:r>
            <w:r>
              <w:rPr>
                <w:spacing w:val="-1"/>
              </w:rPr>
              <w:t>nannte</w:t>
            </w:r>
            <w:r w:rsidR="00B74B93">
              <w:rPr>
                <w:spacing w:val="-1"/>
              </w:rPr>
              <w:t>n</w:t>
            </w:r>
            <w:r>
              <w:rPr>
                <w:spacing w:val="-1"/>
              </w:rPr>
              <w:t xml:space="preserve"> Belange der Gewässerbewirtschaftung, die bei der Ermessensau</w:t>
            </w:r>
            <w:r w:rsidR="00195432">
              <w:rPr>
                <w:spacing w:val="-1"/>
              </w:rPr>
              <w:t>sübung zu berücksich</w:t>
            </w:r>
            <w:r w:rsidR="0003337C">
              <w:rPr>
                <w:spacing w:val="-1"/>
              </w:rPr>
              <w:softHyphen/>
            </w:r>
            <w:r w:rsidR="00195432">
              <w:rPr>
                <w:spacing w:val="-1"/>
              </w:rPr>
              <w:t>tigen sind,</w:t>
            </w:r>
            <w:r w:rsidR="00C2045B">
              <w:rPr>
                <w:spacing w:val="-1"/>
              </w:rPr>
              <w:t xml:space="preserve"> können sich grundsätzlich derart än</w:t>
            </w:r>
            <w:r w:rsidR="0003337C">
              <w:rPr>
                <w:spacing w:val="-1"/>
              </w:rPr>
              <w:softHyphen/>
            </w:r>
            <w:r w:rsidR="00C2045B">
              <w:rPr>
                <w:spacing w:val="-1"/>
              </w:rPr>
              <w:t xml:space="preserve">dern, dass die neuen Erkenntnisse mit Blick auf das neue Antragsverfahren zu berücksichtigen sind. Dem wird der Vollzug durch regelmäßig </w:t>
            </w:r>
            <w:r w:rsidR="00B74B93">
              <w:rPr>
                <w:spacing w:val="-1"/>
              </w:rPr>
              <w:t>er</w:t>
            </w:r>
            <w:r w:rsidR="0003337C">
              <w:rPr>
                <w:spacing w:val="-1"/>
              </w:rPr>
              <w:softHyphen/>
            </w:r>
            <w:r w:rsidR="00C2045B">
              <w:rPr>
                <w:spacing w:val="-1"/>
              </w:rPr>
              <w:t>neu</w:t>
            </w:r>
            <w:r w:rsidR="00B74B93">
              <w:rPr>
                <w:spacing w:val="-1"/>
              </w:rPr>
              <w:t>t</w:t>
            </w:r>
            <w:r w:rsidR="00C2045B">
              <w:rPr>
                <w:spacing w:val="-1"/>
              </w:rPr>
              <w:t xml:space="preserve">e </w:t>
            </w:r>
            <w:r w:rsidR="00195432">
              <w:rPr>
                <w:spacing w:val="-1"/>
              </w:rPr>
              <w:t>Antragsverfahren besser gerecht, da da</w:t>
            </w:r>
            <w:r w:rsidR="0003337C">
              <w:rPr>
                <w:spacing w:val="-1"/>
              </w:rPr>
              <w:softHyphen/>
            </w:r>
            <w:r w:rsidR="00195432">
              <w:rPr>
                <w:spacing w:val="-1"/>
              </w:rPr>
              <w:t xml:space="preserve">mit eine zeitnahe und angepasste Reaktion auf veränderte Erfordernisse sichergestellt wird. </w:t>
            </w:r>
            <w:r w:rsidR="00B74B93">
              <w:rPr>
                <w:spacing w:val="-1"/>
              </w:rPr>
              <w:t xml:space="preserve">Nur so können die Anforderungen des § 36 Abs. 1 Satz 1 WHG gesichert erfüllt werden, wonach </w:t>
            </w:r>
            <w:r w:rsidR="00364FCE">
              <w:rPr>
                <w:spacing w:val="-1"/>
              </w:rPr>
              <w:t>schädliche Gewässerveränderungen zu vermei</w:t>
            </w:r>
            <w:r w:rsidR="0003337C">
              <w:rPr>
                <w:spacing w:val="-1"/>
              </w:rPr>
              <w:softHyphen/>
            </w:r>
            <w:r w:rsidR="00364FCE">
              <w:rPr>
                <w:spacing w:val="-1"/>
              </w:rPr>
              <w:t>den sind und die Gewässerunterhaltung nicht er</w:t>
            </w:r>
            <w:r w:rsidR="0003337C">
              <w:rPr>
                <w:spacing w:val="-1"/>
              </w:rPr>
              <w:softHyphen/>
            </w:r>
            <w:r w:rsidR="00364FCE">
              <w:rPr>
                <w:spacing w:val="-1"/>
              </w:rPr>
              <w:t>schwert werden darf.</w:t>
            </w:r>
          </w:p>
          <w:p w14:paraId="535AF1B2" w14:textId="26F3F80E" w:rsidR="0048133B" w:rsidRDefault="00C2045B" w:rsidP="0046479C">
            <w:pPr>
              <w:pStyle w:val="Textkrper"/>
              <w:tabs>
                <w:tab w:val="left" w:pos="1489"/>
              </w:tabs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  <w:r>
              <w:rPr>
                <w:spacing w:val="-1"/>
              </w:rPr>
              <w:t xml:space="preserve">Sofern die grundsätzliche Befristung dennoch entfallen sollte, dürfte sich </w:t>
            </w:r>
            <w:r w:rsidR="004D4694">
              <w:rPr>
                <w:spacing w:val="-1"/>
              </w:rPr>
              <w:t>dringend</w:t>
            </w:r>
            <w:r>
              <w:rPr>
                <w:spacing w:val="-1"/>
              </w:rPr>
              <w:t xml:space="preserve"> eine Rege</w:t>
            </w:r>
            <w:r w:rsidR="0003337C">
              <w:rPr>
                <w:spacing w:val="-1"/>
              </w:rPr>
              <w:softHyphen/>
            </w:r>
            <w:r>
              <w:rPr>
                <w:spacing w:val="-1"/>
              </w:rPr>
              <w:t>lu</w:t>
            </w:r>
            <w:r w:rsidR="00B06C4F">
              <w:rPr>
                <w:spacing w:val="-1"/>
              </w:rPr>
              <w:t>ng vergleichbar der des § 18 WHG</w:t>
            </w:r>
            <w:r>
              <w:rPr>
                <w:spacing w:val="-1"/>
              </w:rPr>
              <w:t xml:space="preserve"> </w:t>
            </w:r>
            <w:r w:rsidR="004D4694">
              <w:rPr>
                <w:spacing w:val="-1"/>
              </w:rPr>
              <w:t xml:space="preserve">(Widerruf von Benutzungserlaubnissen) </w:t>
            </w:r>
            <w:r>
              <w:rPr>
                <w:spacing w:val="-1"/>
              </w:rPr>
              <w:t xml:space="preserve">empfehlen, die die Möglichkeit des Widerrufs </w:t>
            </w:r>
            <w:r w:rsidR="00B06C4F">
              <w:rPr>
                <w:spacing w:val="-1"/>
              </w:rPr>
              <w:t>für eine Genehmi</w:t>
            </w:r>
            <w:r w:rsidR="0003337C">
              <w:rPr>
                <w:spacing w:val="-1"/>
              </w:rPr>
              <w:softHyphen/>
            </w:r>
            <w:r w:rsidR="00B06C4F">
              <w:rPr>
                <w:spacing w:val="-1"/>
              </w:rPr>
              <w:t>gung vorsieht.</w:t>
            </w:r>
            <w:r>
              <w:rPr>
                <w:spacing w:val="-1"/>
              </w:rPr>
              <w:t xml:space="preserve"> </w:t>
            </w:r>
          </w:p>
        </w:tc>
      </w:tr>
      <w:tr w:rsidR="004D60C6" w14:paraId="7ABD1650" w14:textId="77777777" w:rsidTr="009D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6" w:type="dxa"/>
          </w:tcPr>
          <w:p w14:paraId="037C96C1" w14:textId="77777777" w:rsidR="004D60C6" w:rsidRDefault="006E523B" w:rsidP="008C15E4">
            <w:pPr>
              <w:pStyle w:val="Textkrper"/>
              <w:tabs>
                <w:tab w:val="left" w:pos="1489"/>
              </w:tabs>
              <w:spacing w:after="120" w:line="240" w:lineRule="auto"/>
              <w:jc w:val="left"/>
              <w:rPr>
                <w:rFonts w:cs="Arial"/>
                <w:spacing w:val="-1"/>
              </w:rPr>
            </w:pPr>
            <w:r>
              <w:rPr>
                <w:rFonts w:cs="Arial"/>
                <w:spacing w:val="-1"/>
              </w:rPr>
              <w:t>§ 23 LWG-E</w:t>
            </w:r>
          </w:p>
          <w:p w14:paraId="7309EF49" w14:textId="5252064A" w:rsidR="006E523B" w:rsidRPr="008C15E4" w:rsidRDefault="006E523B" w:rsidP="008C15E4">
            <w:pPr>
              <w:pStyle w:val="Textkrper"/>
              <w:tabs>
                <w:tab w:val="left" w:pos="1489"/>
              </w:tabs>
              <w:spacing w:after="120" w:line="240" w:lineRule="auto"/>
              <w:jc w:val="left"/>
              <w:rPr>
                <w:rFonts w:cs="Arial"/>
                <w:spacing w:val="-1"/>
              </w:rPr>
            </w:pPr>
            <w:r>
              <w:rPr>
                <w:rFonts w:cs="Arial"/>
                <w:spacing w:val="-1"/>
              </w:rPr>
              <w:t>Unterhaltung von Anlagen in, an, über und unter oberirdi</w:t>
            </w:r>
            <w:r w:rsidR="0003337C">
              <w:rPr>
                <w:rFonts w:cs="Arial"/>
                <w:spacing w:val="-1"/>
              </w:rPr>
              <w:softHyphen/>
            </w:r>
            <w:r>
              <w:rPr>
                <w:rFonts w:cs="Arial"/>
                <w:spacing w:val="-1"/>
              </w:rPr>
              <w:t>schen Gewässern</w:t>
            </w:r>
          </w:p>
        </w:tc>
        <w:tc>
          <w:tcPr>
            <w:tcW w:w="5251" w:type="dxa"/>
          </w:tcPr>
          <w:p w14:paraId="5F2DCA77" w14:textId="14F0DF4D" w:rsidR="004D60C6" w:rsidRDefault="006E523B" w:rsidP="008C15E4">
            <w:pPr>
              <w:pStyle w:val="Textkrper"/>
              <w:tabs>
                <w:tab w:val="left" w:pos="1489"/>
              </w:tabs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  <w:r>
              <w:rPr>
                <w:spacing w:val="-1"/>
              </w:rPr>
              <w:t>Der WVER begrüßt grundsätzlich die Änderun</w:t>
            </w:r>
            <w:r w:rsidR="0003337C">
              <w:rPr>
                <w:spacing w:val="-1"/>
              </w:rPr>
              <w:softHyphen/>
            </w:r>
            <w:r>
              <w:rPr>
                <w:spacing w:val="-1"/>
              </w:rPr>
              <w:t xml:space="preserve">gen, da sie den Vollzug verbessern dürften. Für </w:t>
            </w:r>
            <w:r w:rsidR="00885A8D">
              <w:rPr>
                <w:spacing w:val="-1"/>
              </w:rPr>
              <w:t xml:space="preserve">die </w:t>
            </w:r>
            <w:r>
              <w:rPr>
                <w:spacing w:val="-1"/>
              </w:rPr>
              <w:t>zuständigen Behörden wird sich allerdings künftig die Frage stellen, wann es dem Unterhal</w:t>
            </w:r>
            <w:r w:rsidR="0003337C">
              <w:rPr>
                <w:spacing w:val="-1"/>
              </w:rPr>
              <w:softHyphen/>
            </w:r>
            <w:r>
              <w:rPr>
                <w:spacing w:val="-1"/>
              </w:rPr>
              <w:t>tungspflichtigen zumutbar ist, die Kosten bis zum Ende der Vollstreckung zu tragen. Wie die Gesetzesbegründung zu Recht darauf hinweist, fehlt einigen Gewässerunterhaltungspflichtigen, z. B. auch dem WVER</w:t>
            </w:r>
            <w:r w:rsidR="00885A8D">
              <w:rPr>
                <w:spacing w:val="-1"/>
              </w:rPr>
              <w:t>,</w:t>
            </w:r>
            <w:r>
              <w:rPr>
                <w:spacing w:val="-1"/>
              </w:rPr>
              <w:t xml:space="preserve"> die Möglichkeit der Refi</w:t>
            </w:r>
            <w:r w:rsidR="0003337C">
              <w:rPr>
                <w:spacing w:val="-1"/>
              </w:rPr>
              <w:softHyphen/>
            </w:r>
            <w:r>
              <w:rPr>
                <w:spacing w:val="-1"/>
              </w:rPr>
              <w:t>nanzierung der erforderlichen (Zwischen-)Fi</w:t>
            </w:r>
            <w:r w:rsidR="0003337C">
              <w:rPr>
                <w:spacing w:val="-1"/>
              </w:rPr>
              <w:softHyphen/>
            </w:r>
            <w:r>
              <w:rPr>
                <w:spacing w:val="-1"/>
              </w:rPr>
              <w:t>nanzierung. Insofern ist jede Dauer der erforder</w:t>
            </w:r>
            <w:r w:rsidR="0003337C">
              <w:rPr>
                <w:spacing w:val="-1"/>
              </w:rPr>
              <w:softHyphen/>
            </w:r>
            <w:r>
              <w:rPr>
                <w:spacing w:val="-1"/>
              </w:rPr>
              <w:t>lichen Zwischenfinanzierung schädlich. Um den Vollzug innerhalb des Landes zu vereinheitli</w:t>
            </w:r>
            <w:r w:rsidR="0003337C">
              <w:rPr>
                <w:spacing w:val="-1"/>
              </w:rPr>
              <w:softHyphen/>
            </w:r>
            <w:r>
              <w:rPr>
                <w:spacing w:val="-1"/>
              </w:rPr>
              <w:t>chen</w:t>
            </w:r>
            <w:r w:rsidR="00B76A98">
              <w:rPr>
                <w:spacing w:val="-1"/>
              </w:rPr>
              <w:t>,</w:t>
            </w:r>
            <w:r>
              <w:rPr>
                <w:spacing w:val="-1"/>
              </w:rPr>
              <w:t xml:space="preserve"> könnte sich zumindest in der Gesetzesbe</w:t>
            </w:r>
            <w:r w:rsidR="0003337C">
              <w:rPr>
                <w:spacing w:val="-1"/>
              </w:rPr>
              <w:softHyphen/>
            </w:r>
            <w:r>
              <w:rPr>
                <w:spacing w:val="-1"/>
              </w:rPr>
              <w:t>gründung ein Orientierungswert empfehlen.</w:t>
            </w:r>
          </w:p>
        </w:tc>
      </w:tr>
      <w:tr w:rsidR="0048133B" w14:paraId="1A5CFFDE" w14:textId="77777777" w:rsidTr="009D01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6" w:type="dxa"/>
          </w:tcPr>
          <w:p w14:paraId="0075DE20" w14:textId="38E273D0" w:rsidR="0048133B" w:rsidRPr="008C15E4" w:rsidRDefault="008C15E4" w:rsidP="008C15E4">
            <w:pPr>
              <w:pStyle w:val="Textkrper"/>
              <w:tabs>
                <w:tab w:val="left" w:pos="1489"/>
              </w:tabs>
              <w:spacing w:after="120" w:line="240" w:lineRule="auto"/>
              <w:jc w:val="left"/>
              <w:rPr>
                <w:rFonts w:cs="Arial"/>
                <w:spacing w:val="-1"/>
              </w:rPr>
            </w:pPr>
            <w:r w:rsidRPr="008C15E4">
              <w:rPr>
                <w:rFonts w:cs="Arial"/>
                <w:spacing w:val="-1"/>
              </w:rPr>
              <w:t>§ 23a</w:t>
            </w:r>
            <w:r>
              <w:rPr>
                <w:rFonts w:cs="Arial"/>
                <w:spacing w:val="-1"/>
              </w:rPr>
              <w:t xml:space="preserve"> </w:t>
            </w:r>
            <w:r w:rsidR="00D6428C">
              <w:rPr>
                <w:rFonts w:cs="Arial"/>
                <w:spacing w:val="-1"/>
              </w:rPr>
              <w:t xml:space="preserve">LWG-E </w:t>
            </w:r>
            <w:r w:rsidRPr="008C15E4">
              <w:rPr>
                <w:rFonts w:cs="Arial"/>
                <w:i/>
                <w:spacing w:val="-1"/>
              </w:rPr>
              <w:t>neu einzufügen</w:t>
            </w:r>
          </w:p>
          <w:p w14:paraId="3C4C66AE" w14:textId="56FE6C6C" w:rsidR="008C15E4" w:rsidRPr="008C15E4" w:rsidRDefault="008C15E4" w:rsidP="00221E0D">
            <w:pPr>
              <w:overflowPunct w:val="0"/>
              <w:autoSpaceDE w:val="0"/>
              <w:autoSpaceDN w:val="0"/>
              <w:spacing w:after="240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C15E4">
              <w:rPr>
                <w:rFonts w:ascii="Arial" w:eastAsiaTheme="minorHAnsi" w:hAnsi="Arial" w:cs="Arial"/>
                <w:sz w:val="24"/>
                <w:szCs w:val="24"/>
              </w:rPr>
              <w:t>Entscheidung in Fragen der Anlagen- und Gewässerunter</w:t>
            </w:r>
            <w:r w:rsidR="0003337C">
              <w:rPr>
                <w:rFonts w:ascii="Arial" w:eastAsiaTheme="minorHAnsi" w:hAnsi="Arial" w:cs="Arial"/>
                <w:sz w:val="24"/>
                <w:szCs w:val="24"/>
              </w:rPr>
              <w:softHyphen/>
            </w:r>
            <w:r w:rsidRPr="008C15E4">
              <w:rPr>
                <w:rFonts w:ascii="Arial" w:eastAsiaTheme="minorHAnsi" w:hAnsi="Arial" w:cs="Arial"/>
                <w:sz w:val="24"/>
                <w:szCs w:val="24"/>
              </w:rPr>
              <w:t>haltung</w:t>
            </w:r>
          </w:p>
        </w:tc>
        <w:tc>
          <w:tcPr>
            <w:tcW w:w="5251" w:type="dxa"/>
          </w:tcPr>
          <w:p w14:paraId="5A0C065D" w14:textId="481AA38C" w:rsidR="0048133B" w:rsidRDefault="008C15E4" w:rsidP="008C15E4">
            <w:pPr>
              <w:pStyle w:val="Textkrper"/>
              <w:tabs>
                <w:tab w:val="left" w:pos="1489"/>
              </w:tabs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  <w:r>
              <w:rPr>
                <w:spacing w:val="-1"/>
              </w:rPr>
              <w:t xml:space="preserve">Der WVER schlägt die Einführung eines § 23a vor mit dem der </w:t>
            </w:r>
            <w:proofErr w:type="spellStart"/>
            <w:r>
              <w:rPr>
                <w:spacing w:val="-1"/>
              </w:rPr>
              <w:t>agw</w:t>
            </w:r>
            <w:proofErr w:type="spellEnd"/>
            <w:r>
              <w:rPr>
                <w:spacing w:val="-1"/>
              </w:rPr>
              <w:t xml:space="preserve"> bekannten Wortlaut.</w:t>
            </w:r>
          </w:p>
        </w:tc>
      </w:tr>
      <w:tr w:rsidR="004D60C6" w14:paraId="4F20461E" w14:textId="77777777" w:rsidTr="009D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6" w:type="dxa"/>
          </w:tcPr>
          <w:p w14:paraId="6D37F36F" w14:textId="77777777" w:rsidR="00D6428C" w:rsidRDefault="004D60C6" w:rsidP="008C15E4">
            <w:pPr>
              <w:pStyle w:val="Textkrper"/>
              <w:tabs>
                <w:tab w:val="left" w:pos="1489"/>
              </w:tabs>
              <w:spacing w:after="120" w:line="240" w:lineRule="auto"/>
              <w:jc w:val="left"/>
              <w:rPr>
                <w:rFonts w:cs="Arial"/>
                <w:b w:val="0"/>
                <w:bCs w:val="0"/>
                <w:spacing w:val="-1"/>
              </w:rPr>
            </w:pPr>
            <w:r>
              <w:rPr>
                <w:rFonts w:cs="Arial"/>
                <w:spacing w:val="-1"/>
              </w:rPr>
              <w:lastRenderedPageBreak/>
              <w:t xml:space="preserve">§ 31 </w:t>
            </w:r>
            <w:r w:rsidR="00D6428C">
              <w:rPr>
                <w:rFonts w:cs="Arial"/>
                <w:spacing w:val="-1"/>
              </w:rPr>
              <w:t>LWG-E</w:t>
            </w:r>
          </w:p>
          <w:p w14:paraId="41E88F25" w14:textId="228BEE0B" w:rsidR="004D60C6" w:rsidRPr="008C15E4" w:rsidRDefault="004D60C6" w:rsidP="008C15E4">
            <w:pPr>
              <w:pStyle w:val="Textkrper"/>
              <w:tabs>
                <w:tab w:val="left" w:pos="1489"/>
              </w:tabs>
              <w:spacing w:after="120" w:line="240" w:lineRule="auto"/>
              <w:jc w:val="left"/>
              <w:rPr>
                <w:rFonts w:cs="Arial"/>
                <w:spacing w:val="-1"/>
              </w:rPr>
            </w:pPr>
            <w:r>
              <w:rPr>
                <w:rFonts w:cs="Arial"/>
                <w:spacing w:val="-1"/>
              </w:rPr>
              <w:t>Gewässerrandstreifen</w:t>
            </w:r>
          </w:p>
        </w:tc>
        <w:tc>
          <w:tcPr>
            <w:tcW w:w="5251" w:type="dxa"/>
          </w:tcPr>
          <w:p w14:paraId="7A83D876" w14:textId="22577186" w:rsidR="004D540C" w:rsidRDefault="004D540C" w:rsidP="008C15E4">
            <w:pPr>
              <w:pStyle w:val="Textkrper"/>
              <w:tabs>
                <w:tab w:val="left" w:pos="1489"/>
              </w:tabs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  <w:r>
              <w:rPr>
                <w:spacing w:val="-1"/>
              </w:rPr>
              <w:t>Der WVER befürwortet eine Fortführung der bis</w:t>
            </w:r>
            <w:r w:rsidR="0003337C">
              <w:rPr>
                <w:spacing w:val="-1"/>
              </w:rPr>
              <w:softHyphen/>
            </w:r>
            <w:r>
              <w:rPr>
                <w:spacing w:val="-1"/>
              </w:rPr>
              <w:t>herigen Regelung zum Gewässerrandstreifen und lehnt die vorgesehenen Änderungen aus den folgenden Gründen ab</w:t>
            </w:r>
            <w:r w:rsidR="00B76A98">
              <w:rPr>
                <w:spacing w:val="-1"/>
              </w:rPr>
              <w:t>:</w:t>
            </w:r>
          </w:p>
          <w:p w14:paraId="3DAA71D1" w14:textId="705C2C0E" w:rsidR="00B76A98" w:rsidRDefault="000B6041" w:rsidP="008C15E4">
            <w:pPr>
              <w:pStyle w:val="Textkrper"/>
              <w:tabs>
                <w:tab w:val="left" w:pos="1489"/>
              </w:tabs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  <w:r>
              <w:rPr>
                <w:spacing w:val="-1"/>
              </w:rPr>
              <w:t xml:space="preserve">Das </w:t>
            </w:r>
            <w:r w:rsidR="008737AE">
              <w:rPr>
                <w:spacing w:val="-1"/>
              </w:rPr>
              <w:t xml:space="preserve">mit der LWG-Novelle 2016 </w:t>
            </w:r>
            <w:r w:rsidR="004D540C">
              <w:rPr>
                <w:spacing w:val="-1"/>
              </w:rPr>
              <w:t>eingeführte er</w:t>
            </w:r>
            <w:r w:rsidR="0003337C">
              <w:rPr>
                <w:spacing w:val="-1"/>
              </w:rPr>
              <w:softHyphen/>
            </w:r>
            <w:r w:rsidR="004D540C">
              <w:rPr>
                <w:spacing w:val="-1"/>
              </w:rPr>
              <w:t>höhte</w:t>
            </w:r>
            <w:r w:rsidR="00F82FC3">
              <w:rPr>
                <w:spacing w:val="-1"/>
              </w:rPr>
              <w:t xml:space="preserve"> </w:t>
            </w:r>
            <w:r w:rsidR="008737AE">
              <w:rPr>
                <w:spacing w:val="-1"/>
              </w:rPr>
              <w:t>Schutzniveau</w:t>
            </w:r>
            <w:r w:rsidR="00A63626">
              <w:rPr>
                <w:spacing w:val="-1"/>
              </w:rPr>
              <w:t xml:space="preserve"> </w:t>
            </w:r>
            <w:r w:rsidR="00F3643A">
              <w:rPr>
                <w:spacing w:val="-1"/>
              </w:rPr>
              <w:t>von Gewässerrandstreifen</w:t>
            </w:r>
            <w:r w:rsidR="008737AE">
              <w:rPr>
                <w:spacing w:val="-1"/>
              </w:rPr>
              <w:t xml:space="preserve"> wird zugunsten landwirtschaftlicher und städte</w:t>
            </w:r>
            <w:r w:rsidR="0003337C">
              <w:rPr>
                <w:spacing w:val="-1"/>
              </w:rPr>
              <w:softHyphen/>
            </w:r>
            <w:r w:rsidR="008737AE">
              <w:rPr>
                <w:spacing w:val="-1"/>
              </w:rPr>
              <w:t xml:space="preserve">baulicher Nutzungsansprüche reduziert, obwohl in den meisten Fällen </w:t>
            </w:r>
            <w:r w:rsidR="00F82FC3">
              <w:rPr>
                <w:spacing w:val="-1"/>
              </w:rPr>
              <w:t xml:space="preserve">auch in NRW </w:t>
            </w:r>
            <w:r w:rsidR="008737AE">
              <w:rPr>
                <w:spacing w:val="-1"/>
              </w:rPr>
              <w:t>die Oberflä</w:t>
            </w:r>
            <w:r w:rsidR="0003337C">
              <w:rPr>
                <w:spacing w:val="-1"/>
              </w:rPr>
              <w:softHyphen/>
            </w:r>
            <w:r w:rsidR="008737AE">
              <w:rPr>
                <w:spacing w:val="-1"/>
              </w:rPr>
              <w:t xml:space="preserve">chengewässer </w:t>
            </w:r>
            <w:r w:rsidR="00F82FC3">
              <w:rPr>
                <w:spacing w:val="-1"/>
              </w:rPr>
              <w:t xml:space="preserve">weiterhin </w:t>
            </w:r>
            <w:r w:rsidR="008737AE">
              <w:rPr>
                <w:spacing w:val="-1"/>
              </w:rPr>
              <w:t>keinen guten chemi</w:t>
            </w:r>
            <w:r w:rsidR="0003337C">
              <w:rPr>
                <w:spacing w:val="-1"/>
              </w:rPr>
              <w:softHyphen/>
            </w:r>
            <w:r w:rsidR="008737AE">
              <w:rPr>
                <w:spacing w:val="-1"/>
              </w:rPr>
              <w:t>schen und ökologischen Zustand erreicht ha</w:t>
            </w:r>
            <w:r w:rsidR="0003337C">
              <w:rPr>
                <w:spacing w:val="-1"/>
              </w:rPr>
              <w:softHyphen/>
            </w:r>
            <w:r w:rsidR="008737AE">
              <w:rPr>
                <w:spacing w:val="-1"/>
              </w:rPr>
              <w:t>ben, mithin das Zielerreichungsgebot einen ho</w:t>
            </w:r>
            <w:r w:rsidR="0003337C">
              <w:rPr>
                <w:spacing w:val="-1"/>
              </w:rPr>
              <w:softHyphen/>
            </w:r>
            <w:r w:rsidR="008737AE">
              <w:rPr>
                <w:spacing w:val="-1"/>
              </w:rPr>
              <w:t xml:space="preserve">hen Schutzstandard </w:t>
            </w:r>
            <w:r w:rsidR="00F82FC3">
              <w:rPr>
                <w:spacing w:val="-1"/>
              </w:rPr>
              <w:t xml:space="preserve">immer noch </w:t>
            </w:r>
            <w:r w:rsidR="008737AE">
              <w:rPr>
                <w:spacing w:val="-1"/>
              </w:rPr>
              <w:t>erfordert.</w:t>
            </w:r>
            <w:r w:rsidR="00365230">
              <w:rPr>
                <w:spacing w:val="-1"/>
              </w:rPr>
              <w:t xml:space="preserve"> Zwar können Verbesserungen im Düngemittelrecht und die Ausweitung von Kooperationsmodellen mit der Landwirtschaft den Gewässerschutz ver</w:t>
            </w:r>
            <w:r w:rsidR="0003337C">
              <w:rPr>
                <w:spacing w:val="-1"/>
              </w:rPr>
              <w:softHyphen/>
            </w:r>
            <w:r w:rsidR="00365230">
              <w:rPr>
                <w:spacing w:val="-1"/>
              </w:rPr>
              <w:t xml:space="preserve">bessern. Sie ersetzen aber nicht die </w:t>
            </w:r>
            <w:r w:rsidR="00041A87">
              <w:rPr>
                <w:spacing w:val="-1"/>
              </w:rPr>
              <w:t>wirksamen Schutzregelungen im Bereich der Gewässer</w:t>
            </w:r>
            <w:r w:rsidR="0003337C">
              <w:rPr>
                <w:spacing w:val="-1"/>
              </w:rPr>
              <w:softHyphen/>
            </w:r>
            <w:r w:rsidR="00041A87">
              <w:rPr>
                <w:spacing w:val="-1"/>
              </w:rPr>
              <w:t>randstreifens.</w:t>
            </w:r>
            <w:r w:rsidR="008737AE">
              <w:rPr>
                <w:spacing w:val="-1"/>
              </w:rPr>
              <w:t xml:space="preserve">  </w:t>
            </w:r>
          </w:p>
          <w:p w14:paraId="11C8603A" w14:textId="7C0BB842" w:rsidR="004D60C6" w:rsidRDefault="00F3643A" w:rsidP="008C15E4">
            <w:pPr>
              <w:pStyle w:val="Textkrper"/>
              <w:tabs>
                <w:tab w:val="left" w:pos="1489"/>
              </w:tabs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  <w:r>
              <w:rPr>
                <w:spacing w:val="-1"/>
              </w:rPr>
              <w:t>Der Gesetzesbegründung zu dem Entwurf der LWG</w:t>
            </w:r>
            <w:r w:rsidR="004D540C">
              <w:rPr>
                <w:spacing w:val="-1"/>
              </w:rPr>
              <w:t>-</w:t>
            </w:r>
            <w:r>
              <w:rPr>
                <w:spacing w:val="-1"/>
              </w:rPr>
              <w:t xml:space="preserve">Novelle 2016 </w:t>
            </w:r>
            <w:r w:rsidR="00010BDA">
              <w:rPr>
                <w:spacing w:val="-1"/>
              </w:rPr>
              <w:t xml:space="preserve">(Vorlage 16/3050, S. 183) </w:t>
            </w:r>
            <w:r>
              <w:rPr>
                <w:spacing w:val="-1"/>
              </w:rPr>
              <w:t xml:space="preserve">kann </w:t>
            </w:r>
            <w:r w:rsidR="00010BDA">
              <w:rPr>
                <w:spacing w:val="-1"/>
              </w:rPr>
              <w:t xml:space="preserve">entnommen werden, dass </w:t>
            </w:r>
            <w:r w:rsidR="003B569F">
              <w:rPr>
                <w:spacing w:val="-1"/>
              </w:rPr>
              <w:t>die nun wegfal</w:t>
            </w:r>
            <w:r w:rsidR="0003337C">
              <w:rPr>
                <w:spacing w:val="-1"/>
              </w:rPr>
              <w:softHyphen/>
            </w:r>
            <w:r w:rsidR="003B569F">
              <w:rPr>
                <w:spacing w:val="-1"/>
              </w:rPr>
              <w:t xml:space="preserve">lende </w:t>
            </w:r>
            <w:r w:rsidR="00010BDA">
              <w:rPr>
                <w:spacing w:val="-1"/>
              </w:rPr>
              <w:t>Erweiterung des Randstre</w:t>
            </w:r>
            <w:r w:rsidR="00963407">
              <w:rPr>
                <w:spacing w:val="-1"/>
              </w:rPr>
              <w:t>i</w:t>
            </w:r>
            <w:r w:rsidR="00010BDA">
              <w:rPr>
                <w:spacing w:val="-1"/>
              </w:rPr>
              <w:t>fens von 5 m auf 10 m einen deutlich verbesserten Sediment</w:t>
            </w:r>
            <w:r w:rsidR="0003337C">
              <w:rPr>
                <w:spacing w:val="-1"/>
              </w:rPr>
              <w:softHyphen/>
            </w:r>
            <w:r w:rsidR="00010BDA">
              <w:rPr>
                <w:spacing w:val="-1"/>
              </w:rPr>
              <w:t>rückhalt bei gebundenen Pflanzenschutzmitteln und Nährstoffen bewirkt</w:t>
            </w:r>
            <w:r w:rsidR="003B569F">
              <w:rPr>
                <w:spacing w:val="-1"/>
              </w:rPr>
              <w:t>,</w:t>
            </w:r>
            <w:r w:rsidR="00010BDA">
              <w:rPr>
                <w:spacing w:val="-1"/>
              </w:rPr>
              <w:t xml:space="preserve"> bei gelösten Pflanzen</w:t>
            </w:r>
            <w:r w:rsidR="0003337C">
              <w:rPr>
                <w:spacing w:val="-1"/>
              </w:rPr>
              <w:softHyphen/>
            </w:r>
            <w:r w:rsidR="00010BDA">
              <w:rPr>
                <w:spacing w:val="-1"/>
              </w:rPr>
              <w:t>schutzmitteln und Nährstoffen</w:t>
            </w:r>
            <w:r w:rsidR="003B569F">
              <w:rPr>
                <w:spacing w:val="-1"/>
              </w:rPr>
              <w:t xml:space="preserve"> in noch weiterge</w:t>
            </w:r>
            <w:r w:rsidR="0003337C">
              <w:rPr>
                <w:spacing w:val="-1"/>
              </w:rPr>
              <w:softHyphen/>
            </w:r>
            <w:r w:rsidR="003B569F">
              <w:rPr>
                <w:spacing w:val="-1"/>
              </w:rPr>
              <w:t>hendem Maße</w:t>
            </w:r>
            <w:r w:rsidR="00010BDA">
              <w:rPr>
                <w:spacing w:val="-1"/>
              </w:rPr>
              <w:t xml:space="preserve">. </w:t>
            </w:r>
            <w:r w:rsidR="00963407">
              <w:rPr>
                <w:spacing w:val="-1"/>
              </w:rPr>
              <w:t>Die Herausnahme von Nitrat und Pflanzenschutzmitteln aus dem Verbotsbereich</w:t>
            </w:r>
            <w:r w:rsidR="003B569F">
              <w:rPr>
                <w:spacing w:val="-1"/>
              </w:rPr>
              <w:t xml:space="preserve"> verschlechtert weiterhin den Schutzstandard. Gleiches gilt für die Streichung des Bauverbots im Innenbereich, da eine Bebauung im Rand</w:t>
            </w:r>
            <w:r w:rsidR="0003337C">
              <w:rPr>
                <w:spacing w:val="-1"/>
              </w:rPr>
              <w:softHyphen/>
            </w:r>
            <w:r w:rsidR="003B569F">
              <w:rPr>
                <w:spacing w:val="-1"/>
              </w:rPr>
              <w:t xml:space="preserve">streifenbereich einen bedeutenden negativen </w:t>
            </w:r>
            <w:r w:rsidR="00010BDA">
              <w:rPr>
                <w:spacing w:val="-1"/>
              </w:rPr>
              <w:t>Effekt auf die Gewässermorphologie</w:t>
            </w:r>
            <w:r w:rsidR="003B569F">
              <w:rPr>
                <w:spacing w:val="-1"/>
              </w:rPr>
              <w:t xml:space="preserve"> haben wird</w:t>
            </w:r>
            <w:r w:rsidR="00010BDA">
              <w:rPr>
                <w:spacing w:val="-1"/>
              </w:rPr>
              <w:t xml:space="preserve">. </w:t>
            </w:r>
          </w:p>
        </w:tc>
      </w:tr>
      <w:tr w:rsidR="0048133B" w14:paraId="7F1D881A" w14:textId="77777777" w:rsidTr="009D01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6" w:type="dxa"/>
          </w:tcPr>
          <w:p w14:paraId="0D8094F1" w14:textId="77777777" w:rsidR="0048133B" w:rsidRDefault="004F0EF8" w:rsidP="008C15E4">
            <w:pPr>
              <w:pStyle w:val="Textkrper"/>
              <w:tabs>
                <w:tab w:val="left" w:pos="1489"/>
              </w:tabs>
              <w:spacing w:after="120" w:line="240" w:lineRule="auto"/>
              <w:jc w:val="left"/>
              <w:rPr>
                <w:b w:val="0"/>
                <w:bCs w:val="0"/>
                <w:spacing w:val="-1"/>
              </w:rPr>
            </w:pPr>
            <w:r>
              <w:rPr>
                <w:spacing w:val="-1"/>
              </w:rPr>
              <w:t>§ 35 Abs. 2 LWG-E</w:t>
            </w:r>
          </w:p>
          <w:p w14:paraId="7CD0B891" w14:textId="6CF27F38" w:rsidR="004F0EF8" w:rsidRDefault="004F0EF8" w:rsidP="008C15E4">
            <w:pPr>
              <w:pStyle w:val="Textkrper"/>
              <w:tabs>
                <w:tab w:val="left" w:pos="1489"/>
              </w:tabs>
              <w:spacing w:after="120" w:line="240" w:lineRule="auto"/>
              <w:jc w:val="left"/>
              <w:rPr>
                <w:spacing w:val="-1"/>
              </w:rPr>
            </w:pPr>
            <w:r>
              <w:rPr>
                <w:spacing w:val="-1"/>
              </w:rPr>
              <w:t>Bodenschatzgewinnungsverbot</w:t>
            </w:r>
            <w:r w:rsidR="00221E0D">
              <w:rPr>
                <w:spacing w:val="-1"/>
              </w:rPr>
              <w:t xml:space="preserve"> i</w:t>
            </w:r>
            <w:r>
              <w:rPr>
                <w:spacing w:val="-1"/>
              </w:rPr>
              <w:t>n Wasserschutzgebieten</w:t>
            </w:r>
          </w:p>
        </w:tc>
        <w:tc>
          <w:tcPr>
            <w:tcW w:w="5251" w:type="dxa"/>
          </w:tcPr>
          <w:p w14:paraId="2C96F060" w14:textId="27C0B1D2" w:rsidR="0048133B" w:rsidRDefault="004F0EF8" w:rsidP="0046479C">
            <w:pPr>
              <w:pStyle w:val="Textkrper"/>
              <w:tabs>
                <w:tab w:val="left" w:pos="1489"/>
              </w:tabs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  <w:r>
              <w:rPr>
                <w:spacing w:val="-1"/>
              </w:rPr>
              <w:t>Der Wegfall des Bodenschatzgewinnungsverbo</w:t>
            </w:r>
            <w:r w:rsidR="0003337C">
              <w:rPr>
                <w:spacing w:val="-1"/>
              </w:rPr>
              <w:softHyphen/>
            </w:r>
            <w:r>
              <w:rPr>
                <w:spacing w:val="-1"/>
              </w:rPr>
              <w:t xml:space="preserve">tes in Wasserschutzgebieten wird abgelehnt. </w:t>
            </w:r>
            <w:r w:rsidR="00FD41D2">
              <w:rPr>
                <w:spacing w:val="-1"/>
              </w:rPr>
              <w:t>Der präventive Schutz der Rohwasserressour</w:t>
            </w:r>
            <w:r w:rsidR="0003337C">
              <w:rPr>
                <w:spacing w:val="-1"/>
              </w:rPr>
              <w:softHyphen/>
            </w:r>
            <w:r w:rsidR="00FD41D2">
              <w:rPr>
                <w:spacing w:val="-1"/>
              </w:rPr>
              <w:t>cen ist für die Versorgung der Bevölkerung mit einwandfreiem Trinkwasser und auch für künfti</w:t>
            </w:r>
            <w:r w:rsidR="0003337C">
              <w:rPr>
                <w:spacing w:val="-1"/>
              </w:rPr>
              <w:softHyphen/>
            </w:r>
            <w:r w:rsidR="00FD41D2">
              <w:rPr>
                <w:spacing w:val="-1"/>
              </w:rPr>
              <w:t>ge</w:t>
            </w:r>
            <w:r w:rsidR="00B76A98">
              <w:rPr>
                <w:spacing w:val="-1"/>
              </w:rPr>
              <w:t>n</w:t>
            </w:r>
            <w:r w:rsidR="00FD41D2">
              <w:rPr>
                <w:spacing w:val="-1"/>
              </w:rPr>
              <w:t xml:space="preserve"> Generationen von entscheidender Bedeu</w:t>
            </w:r>
            <w:r w:rsidR="0003337C">
              <w:rPr>
                <w:spacing w:val="-1"/>
              </w:rPr>
              <w:softHyphen/>
            </w:r>
            <w:r w:rsidR="00FD41D2">
              <w:rPr>
                <w:spacing w:val="-1"/>
              </w:rPr>
              <w:t xml:space="preserve">tung. </w:t>
            </w:r>
            <w:r>
              <w:rPr>
                <w:spacing w:val="-1"/>
              </w:rPr>
              <w:t>D</w:t>
            </w:r>
            <w:r w:rsidR="008017A7">
              <w:rPr>
                <w:spacing w:val="-1"/>
              </w:rPr>
              <w:t xml:space="preserve">er Wegfall des Verbotes </w:t>
            </w:r>
            <w:r>
              <w:rPr>
                <w:spacing w:val="-1"/>
              </w:rPr>
              <w:t xml:space="preserve">steht </w:t>
            </w:r>
            <w:r w:rsidR="00B76A98">
              <w:rPr>
                <w:spacing w:val="-1"/>
              </w:rPr>
              <w:t xml:space="preserve">überdies </w:t>
            </w:r>
            <w:r>
              <w:rPr>
                <w:spacing w:val="-1"/>
              </w:rPr>
              <w:t>im Widerspruch zum Verschlechterungsverbot und zum Verbesserungsgebot der WRRL, wel</w:t>
            </w:r>
            <w:r w:rsidR="0003337C">
              <w:rPr>
                <w:spacing w:val="-1"/>
              </w:rPr>
              <w:softHyphen/>
            </w:r>
            <w:r>
              <w:rPr>
                <w:spacing w:val="-1"/>
              </w:rPr>
              <w:t>che auch für die Grundwasserkörper gelten. Der Wegfall des Verbotes steht auch im Wider</w:t>
            </w:r>
            <w:r w:rsidR="0003337C">
              <w:rPr>
                <w:spacing w:val="-1"/>
              </w:rPr>
              <w:softHyphen/>
            </w:r>
            <w:r>
              <w:rPr>
                <w:spacing w:val="-1"/>
              </w:rPr>
              <w:t xml:space="preserve">spruch zum Nachhaltigkeitsgebot, das sich in </w:t>
            </w:r>
            <w:r>
              <w:rPr>
                <w:spacing w:val="-1"/>
              </w:rPr>
              <w:lastRenderedPageBreak/>
              <w:t>den Bewirt</w:t>
            </w:r>
            <w:r w:rsidR="008017A7">
              <w:rPr>
                <w:spacing w:val="-1"/>
              </w:rPr>
              <w:t>s</w:t>
            </w:r>
            <w:r>
              <w:rPr>
                <w:spacing w:val="-1"/>
              </w:rPr>
              <w:t>chaftungsgrundsätzen des § 6 WHG wiede</w:t>
            </w:r>
            <w:r w:rsidR="008017A7">
              <w:rPr>
                <w:spacing w:val="-1"/>
              </w:rPr>
              <w:t>r</w:t>
            </w:r>
            <w:r>
              <w:rPr>
                <w:spacing w:val="-1"/>
              </w:rPr>
              <w:t xml:space="preserve">findet. </w:t>
            </w:r>
            <w:r w:rsidR="00AF318E">
              <w:rPr>
                <w:spacing w:val="-1"/>
              </w:rPr>
              <w:t>Zudem steht der Verbotswegfall im Widerspruch zum Vorrang der Trinkwasserver</w:t>
            </w:r>
            <w:r w:rsidR="0003337C">
              <w:rPr>
                <w:spacing w:val="-1"/>
              </w:rPr>
              <w:softHyphen/>
            </w:r>
            <w:r w:rsidR="00AF318E">
              <w:rPr>
                <w:spacing w:val="-1"/>
              </w:rPr>
              <w:t>sorgung an anderer Stelle, hier gegenüber an</w:t>
            </w:r>
            <w:r w:rsidR="0003337C">
              <w:rPr>
                <w:spacing w:val="-1"/>
              </w:rPr>
              <w:softHyphen/>
            </w:r>
            <w:r w:rsidR="00AF318E">
              <w:rPr>
                <w:spacing w:val="-1"/>
              </w:rPr>
              <w:t>deren Wasserentnahmen. Es darf insofern keine Beeinträchtigungen der Trinkwasserversorgung durch den Wegfall der Verbotsregelung geben.</w:t>
            </w:r>
          </w:p>
          <w:p w14:paraId="6E459978" w14:textId="4CF95180" w:rsidR="004D540C" w:rsidRDefault="00D64D1B" w:rsidP="0046479C">
            <w:pPr>
              <w:pStyle w:val="Textkrper"/>
              <w:tabs>
                <w:tab w:val="left" w:pos="1489"/>
              </w:tabs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  <w:r>
              <w:rPr>
                <w:spacing w:val="-1"/>
              </w:rPr>
              <w:t xml:space="preserve">Die </w:t>
            </w:r>
            <w:r w:rsidR="004D540C">
              <w:rPr>
                <w:spacing w:val="-1"/>
              </w:rPr>
              <w:t xml:space="preserve">geplante </w:t>
            </w:r>
            <w:r w:rsidR="00B76A98">
              <w:rPr>
                <w:spacing w:val="-1"/>
              </w:rPr>
              <w:t xml:space="preserve">landesweite </w:t>
            </w:r>
            <w:r w:rsidR="004D540C">
              <w:rPr>
                <w:spacing w:val="-1"/>
              </w:rPr>
              <w:t>Wa</w:t>
            </w:r>
            <w:r>
              <w:rPr>
                <w:spacing w:val="-1"/>
              </w:rPr>
              <w:t>sserschutzgebiets</w:t>
            </w:r>
            <w:r w:rsidR="0003337C">
              <w:rPr>
                <w:spacing w:val="-1"/>
              </w:rPr>
              <w:softHyphen/>
            </w:r>
            <w:r>
              <w:rPr>
                <w:spacing w:val="-1"/>
              </w:rPr>
              <w:t xml:space="preserve">verordnung kann eine gesetzliche </w:t>
            </w:r>
            <w:r w:rsidR="00FD41D2">
              <w:rPr>
                <w:spacing w:val="-1"/>
              </w:rPr>
              <w:t>Regelung nicht ersetzen.</w:t>
            </w:r>
          </w:p>
        </w:tc>
      </w:tr>
      <w:tr w:rsidR="0048133B" w14:paraId="42B961D3" w14:textId="77777777" w:rsidTr="009D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6" w:type="dxa"/>
          </w:tcPr>
          <w:p w14:paraId="434912AD" w14:textId="77777777" w:rsidR="0048133B" w:rsidRDefault="004D60C6" w:rsidP="008C15E4">
            <w:pPr>
              <w:pStyle w:val="Textkrper"/>
              <w:tabs>
                <w:tab w:val="left" w:pos="1489"/>
              </w:tabs>
              <w:spacing w:after="120" w:line="240" w:lineRule="auto"/>
              <w:jc w:val="left"/>
              <w:rPr>
                <w:b w:val="0"/>
                <w:bCs w:val="0"/>
                <w:spacing w:val="-1"/>
              </w:rPr>
            </w:pPr>
            <w:r>
              <w:rPr>
                <w:spacing w:val="-1"/>
              </w:rPr>
              <w:lastRenderedPageBreak/>
              <w:t>§ 37 Abs. 2 LWG-E</w:t>
            </w:r>
          </w:p>
          <w:p w14:paraId="2AFB42DC" w14:textId="749DE5B9" w:rsidR="004D60C6" w:rsidRDefault="004D60C6" w:rsidP="008C15E4">
            <w:pPr>
              <w:pStyle w:val="Textkrper"/>
              <w:tabs>
                <w:tab w:val="left" w:pos="1489"/>
              </w:tabs>
              <w:spacing w:after="120" w:line="240" w:lineRule="auto"/>
              <w:jc w:val="left"/>
              <w:rPr>
                <w:spacing w:val="-1"/>
              </w:rPr>
            </w:pPr>
            <w:r>
              <w:rPr>
                <w:spacing w:val="-1"/>
              </w:rPr>
              <w:t>Vorrang der Trinkwasserver</w:t>
            </w:r>
            <w:r w:rsidR="0003337C">
              <w:rPr>
                <w:spacing w:val="-1"/>
              </w:rPr>
              <w:softHyphen/>
            </w:r>
            <w:r>
              <w:rPr>
                <w:spacing w:val="-1"/>
              </w:rPr>
              <w:t>sorgung</w:t>
            </w:r>
          </w:p>
        </w:tc>
        <w:tc>
          <w:tcPr>
            <w:tcW w:w="5251" w:type="dxa"/>
          </w:tcPr>
          <w:p w14:paraId="0440BDAE" w14:textId="451FCB52" w:rsidR="00BC63BD" w:rsidRDefault="007D15BF" w:rsidP="0046479C">
            <w:pPr>
              <w:pStyle w:val="Textkrper"/>
              <w:tabs>
                <w:tab w:val="left" w:pos="1489"/>
              </w:tabs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  <w:r>
              <w:rPr>
                <w:spacing w:val="-1"/>
              </w:rPr>
              <w:t xml:space="preserve">Die </w:t>
            </w:r>
            <w:r w:rsidR="00C66A35">
              <w:rPr>
                <w:spacing w:val="-1"/>
              </w:rPr>
              <w:t>Betonung</w:t>
            </w:r>
            <w:r>
              <w:rPr>
                <w:spacing w:val="-1"/>
              </w:rPr>
              <w:t xml:space="preserve"> eines Rangverhältnisses zwi</w:t>
            </w:r>
            <w:r w:rsidR="0003337C">
              <w:rPr>
                <w:spacing w:val="-1"/>
              </w:rPr>
              <w:softHyphen/>
            </w:r>
            <w:r>
              <w:rPr>
                <w:spacing w:val="-1"/>
              </w:rPr>
              <w:t>schen den Wasserentnahmearten</w:t>
            </w:r>
            <w:r w:rsidR="00BE1D10">
              <w:rPr>
                <w:spacing w:val="-1"/>
              </w:rPr>
              <w:t xml:space="preserve"> zugunsten der öffentlichen Trinkwasserversorgung </w:t>
            </w:r>
            <w:r w:rsidR="00BC63BD">
              <w:rPr>
                <w:spacing w:val="-1"/>
              </w:rPr>
              <w:t>wird vor dem Hintergrund der sich verschärfenden Nut</w:t>
            </w:r>
            <w:r w:rsidR="0003337C">
              <w:rPr>
                <w:spacing w:val="-1"/>
              </w:rPr>
              <w:softHyphen/>
            </w:r>
            <w:r w:rsidR="00BC63BD">
              <w:rPr>
                <w:spacing w:val="-1"/>
              </w:rPr>
              <w:t>zungskonf</w:t>
            </w:r>
            <w:r w:rsidR="00BE1D10">
              <w:rPr>
                <w:spacing w:val="-1"/>
              </w:rPr>
              <w:t>li</w:t>
            </w:r>
            <w:r w:rsidR="00BC63BD">
              <w:rPr>
                <w:spacing w:val="-1"/>
              </w:rPr>
              <w:t>kte begrüßt.</w:t>
            </w:r>
            <w:r w:rsidR="00BE1D10">
              <w:rPr>
                <w:spacing w:val="-1"/>
              </w:rPr>
              <w:t xml:space="preserve"> Der WVER stellt in er</w:t>
            </w:r>
            <w:r w:rsidR="0003337C">
              <w:rPr>
                <w:spacing w:val="-1"/>
              </w:rPr>
              <w:softHyphen/>
            </w:r>
            <w:r w:rsidR="00BE1D10">
              <w:rPr>
                <w:spacing w:val="-1"/>
              </w:rPr>
              <w:t>heblichem Maße Rohwasser zur Trink- und Brauchwasserversorgung in der Nordeifel be</w:t>
            </w:r>
            <w:r w:rsidR="0003337C">
              <w:rPr>
                <w:spacing w:val="-1"/>
              </w:rPr>
              <w:softHyphen/>
            </w:r>
            <w:r w:rsidR="00BE1D10">
              <w:rPr>
                <w:spacing w:val="-1"/>
              </w:rPr>
              <w:t>reit. Diese Wasserentnahmen müssen auch vor dem Hintergrund des bereits eingesetzten Kli</w:t>
            </w:r>
            <w:r w:rsidR="0003337C">
              <w:rPr>
                <w:spacing w:val="-1"/>
              </w:rPr>
              <w:softHyphen/>
            </w:r>
            <w:r w:rsidR="00BE1D10">
              <w:rPr>
                <w:spacing w:val="-1"/>
              </w:rPr>
              <w:t>mawandels weiterhin gewährleistet werden.</w:t>
            </w:r>
            <w:r w:rsidR="000F4CFF">
              <w:rPr>
                <w:spacing w:val="-1"/>
              </w:rPr>
              <w:t xml:space="preserve"> Die</w:t>
            </w:r>
            <w:r w:rsidR="00C66A35">
              <w:rPr>
                <w:spacing w:val="-1"/>
              </w:rPr>
              <w:t xml:space="preserve"> neue Regelung </w:t>
            </w:r>
            <w:r w:rsidR="000F4CFF">
              <w:rPr>
                <w:spacing w:val="-1"/>
              </w:rPr>
              <w:t xml:space="preserve">entspricht </w:t>
            </w:r>
            <w:r w:rsidR="00C66A35">
              <w:rPr>
                <w:spacing w:val="-1"/>
              </w:rPr>
              <w:t xml:space="preserve">insoweit </w:t>
            </w:r>
            <w:r w:rsidR="000F4CFF">
              <w:rPr>
                <w:spacing w:val="-1"/>
              </w:rPr>
              <w:t>auch dem Gebot in § 6 WHG</w:t>
            </w:r>
            <w:r w:rsidR="00FD41D2">
              <w:rPr>
                <w:spacing w:val="-1"/>
              </w:rPr>
              <w:t>,</w:t>
            </w:r>
            <w:r w:rsidR="000F4CFF">
              <w:rPr>
                <w:spacing w:val="-1"/>
              </w:rPr>
              <w:t xml:space="preserve"> Gewässer mit dem Ziel zu bewirtschaften, dass den Folgen des Klimawan</w:t>
            </w:r>
            <w:r w:rsidR="0003337C">
              <w:rPr>
                <w:spacing w:val="-1"/>
              </w:rPr>
              <w:softHyphen/>
            </w:r>
            <w:r w:rsidR="000F4CFF">
              <w:rPr>
                <w:spacing w:val="-1"/>
              </w:rPr>
              <w:t xml:space="preserve">dels vorgebeugt wird. </w:t>
            </w:r>
            <w:r w:rsidR="00371245">
              <w:rPr>
                <w:spacing w:val="-1"/>
              </w:rPr>
              <w:t>Die von der Neuregelung ausgehende Signalwirkung des Vorrangs der Trinkwasserversorgung wäre künftig im Rah</w:t>
            </w:r>
            <w:r w:rsidR="0003337C">
              <w:rPr>
                <w:spacing w:val="-1"/>
              </w:rPr>
              <w:softHyphen/>
            </w:r>
            <w:r w:rsidR="00371245">
              <w:rPr>
                <w:spacing w:val="-1"/>
              </w:rPr>
              <w:t>men des Bewirtschaftungsermessens zu be</w:t>
            </w:r>
            <w:r w:rsidR="0003337C">
              <w:rPr>
                <w:spacing w:val="-1"/>
              </w:rPr>
              <w:softHyphen/>
            </w:r>
            <w:r w:rsidR="00371245">
              <w:rPr>
                <w:spacing w:val="-1"/>
              </w:rPr>
              <w:t>rücksichtigen.</w:t>
            </w:r>
          </w:p>
        </w:tc>
      </w:tr>
      <w:tr w:rsidR="007E6381" w14:paraId="5C0CB7A0" w14:textId="77777777" w:rsidTr="009D01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6" w:type="dxa"/>
          </w:tcPr>
          <w:p w14:paraId="38FC9578" w14:textId="30C64C35" w:rsidR="007E6381" w:rsidRPr="0001170A" w:rsidRDefault="007E6381" w:rsidP="0001170A">
            <w:pPr>
              <w:spacing w:after="120" w:line="276" w:lineRule="auto"/>
              <w:rPr>
                <w:rFonts w:ascii="Arial" w:eastAsiaTheme="minorHAnsi" w:hAnsi="Arial" w:cs="Arial"/>
                <w:b w:val="0"/>
                <w:sz w:val="24"/>
                <w:szCs w:val="24"/>
                <w:lang w:eastAsia="en-US"/>
              </w:rPr>
            </w:pPr>
            <w:r w:rsidRPr="0001170A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§ 47 LWG-E: Abwasserbeseiti</w:t>
            </w:r>
            <w:r w:rsidR="0003337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softHyphen/>
            </w:r>
            <w:r w:rsidRPr="0001170A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gungskonzept </w:t>
            </w:r>
            <w:proofErr w:type="spellStart"/>
            <w:r w:rsidRPr="0001170A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i.V.m</w:t>
            </w:r>
            <w:proofErr w:type="spellEnd"/>
            <w:r w:rsidRPr="0001170A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§ 46 Ab</w:t>
            </w:r>
            <w:r w:rsidR="0003337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softHyphen/>
            </w:r>
            <w:r w:rsidRPr="0001170A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satz 1 Nummer 6</w:t>
            </w:r>
          </w:p>
          <w:p w14:paraId="789F677B" w14:textId="77777777" w:rsidR="007E6381" w:rsidRDefault="007E6381" w:rsidP="008C15E4">
            <w:pPr>
              <w:pStyle w:val="Textkrper"/>
              <w:tabs>
                <w:tab w:val="left" w:pos="1489"/>
              </w:tabs>
              <w:spacing w:after="120" w:line="240" w:lineRule="auto"/>
              <w:jc w:val="left"/>
              <w:rPr>
                <w:spacing w:val="-1"/>
              </w:rPr>
            </w:pPr>
          </w:p>
        </w:tc>
        <w:tc>
          <w:tcPr>
            <w:tcW w:w="5251" w:type="dxa"/>
          </w:tcPr>
          <w:p w14:paraId="00AD5D63" w14:textId="4756C1F6" w:rsidR="007E6381" w:rsidRPr="0001170A" w:rsidRDefault="007E6381" w:rsidP="0001170A">
            <w:pPr>
              <w:spacing w:after="3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Es wird weiterhin aus Gründen der Vereinfa</w:t>
            </w:r>
            <w:r w:rsidR="0003337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softHyphen/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chung der Arbeitsabläufe gefordert, den</w:t>
            </w:r>
            <w:r w:rsidRPr="0001170A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Zyklus der Er</w:t>
            </w:r>
            <w:r w:rsidRPr="0001170A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softHyphen/>
              <w:t>stellung der Konzepte mit den Bewirt</w:t>
            </w:r>
            <w:r w:rsidR="0003337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softHyphen/>
            </w:r>
            <w:r w:rsidRPr="0001170A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schaftungszyklen der Wasserrahmenricht</w:t>
            </w:r>
            <w:r w:rsidRPr="0001170A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softHyphen/>
              <w:t xml:space="preserve">linie </w:t>
            </w:r>
            <w:r w:rsidR="0062781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zu synchronisieren.</w:t>
            </w:r>
          </w:p>
          <w:p w14:paraId="1651D2B2" w14:textId="294CC0EA" w:rsidR="007E6381" w:rsidRDefault="007E6381" w:rsidP="0001170A">
            <w:pPr>
              <w:spacing w:after="3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  <w:r w:rsidRPr="0001170A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Wünschenswert wäre zudem eine Synchroni</w:t>
            </w:r>
            <w:r w:rsidR="0003337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softHyphen/>
            </w:r>
            <w:r w:rsidRPr="0001170A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sation der Erstellung der Abwasserbeseiti</w:t>
            </w:r>
            <w:r w:rsidR="0003337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softHyphen/>
            </w:r>
            <w:r w:rsidRPr="0001170A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gungskonzepte mit der Erstellung der Ge</w:t>
            </w:r>
            <w:r w:rsidRPr="0001170A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softHyphen/>
              <w:t>wäs</w:t>
            </w:r>
            <w:r w:rsidR="0003337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softHyphen/>
            </w:r>
            <w:r w:rsidRPr="0001170A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serkonzepte nach § 74 Abs. 2 LWG.</w:t>
            </w:r>
            <w:r w:rsidRPr="0001170A" w:rsidDel="00AA5E1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="00A8129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Die Syn</w:t>
            </w:r>
            <w:r w:rsidR="0003337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softHyphen/>
            </w:r>
            <w:r w:rsidR="00A8129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chronisation ließe sich durch Übergangsfriste</w:t>
            </w:r>
            <w:bookmarkStart w:id="0" w:name="_GoBack"/>
            <w:bookmarkEnd w:id="0"/>
            <w:r w:rsidR="00A8129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n herbeiführen.</w:t>
            </w:r>
          </w:p>
        </w:tc>
      </w:tr>
      <w:tr w:rsidR="00DA0F6F" w14:paraId="6B386840" w14:textId="77777777" w:rsidTr="009D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6" w:type="dxa"/>
          </w:tcPr>
          <w:p w14:paraId="21C99D95" w14:textId="77777777" w:rsidR="00221E0D" w:rsidRDefault="00DA0F6F" w:rsidP="008C15E4">
            <w:pPr>
              <w:pStyle w:val="Textkrper"/>
              <w:tabs>
                <w:tab w:val="left" w:pos="1489"/>
              </w:tabs>
              <w:spacing w:after="120" w:line="240" w:lineRule="auto"/>
              <w:jc w:val="left"/>
              <w:rPr>
                <w:spacing w:val="-1"/>
              </w:rPr>
            </w:pPr>
            <w:r>
              <w:rPr>
                <w:spacing w:val="-1"/>
              </w:rPr>
              <w:t xml:space="preserve">§ 73 LWG-E </w:t>
            </w:r>
          </w:p>
          <w:p w14:paraId="51120511" w14:textId="61AF6BDB" w:rsidR="00DA0F6F" w:rsidRDefault="00DA0F6F" w:rsidP="008C15E4">
            <w:pPr>
              <w:pStyle w:val="Textkrper"/>
              <w:tabs>
                <w:tab w:val="left" w:pos="1489"/>
              </w:tabs>
              <w:spacing w:after="120" w:line="240" w:lineRule="auto"/>
              <w:jc w:val="left"/>
              <w:rPr>
                <w:spacing w:val="-1"/>
              </w:rPr>
            </w:pPr>
            <w:r>
              <w:rPr>
                <w:spacing w:val="-1"/>
              </w:rPr>
              <w:t>Vorkaufsrecht</w:t>
            </w:r>
          </w:p>
        </w:tc>
        <w:tc>
          <w:tcPr>
            <w:tcW w:w="5251" w:type="dxa"/>
          </w:tcPr>
          <w:p w14:paraId="1A797CF4" w14:textId="77777777" w:rsidR="00E74E00" w:rsidRDefault="00E74E00" w:rsidP="0046479C">
            <w:pPr>
              <w:pStyle w:val="Textkrper"/>
              <w:tabs>
                <w:tab w:val="left" w:pos="1489"/>
              </w:tabs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  <w:r>
              <w:rPr>
                <w:spacing w:val="-1"/>
              </w:rPr>
              <w:t>Zu Abs. 1:</w:t>
            </w:r>
          </w:p>
          <w:p w14:paraId="4C3F2693" w14:textId="42BFFE80" w:rsidR="00E74E00" w:rsidRDefault="00E74E00" w:rsidP="0046479C">
            <w:pPr>
              <w:pStyle w:val="Textkrper"/>
              <w:tabs>
                <w:tab w:val="left" w:pos="1489"/>
              </w:tabs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  <w:r>
              <w:rPr>
                <w:spacing w:val="-1"/>
              </w:rPr>
              <w:t>Auch vor dem Hintergrund, dass die Flächenver</w:t>
            </w:r>
            <w:r w:rsidR="0003337C">
              <w:rPr>
                <w:spacing w:val="-1"/>
              </w:rPr>
              <w:softHyphen/>
            </w:r>
            <w:r>
              <w:rPr>
                <w:spacing w:val="-1"/>
              </w:rPr>
              <w:t xml:space="preserve">fügbarkeit eines der größten Hindernisse bei der </w:t>
            </w:r>
            <w:r>
              <w:rPr>
                <w:spacing w:val="-1"/>
              </w:rPr>
              <w:lastRenderedPageBreak/>
              <w:t>Umsetzung der Wasserrahmenrichtlinie ist, er</w:t>
            </w:r>
            <w:r w:rsidR="0003337C">
              <w:rPr>
                <w:spacing w:val="-1"/>
              </w:rPr>
              <w:softHyphen/>
            </w:r>
            <w:r>
              <w:rPr>
                <w:spacing w:val="-1"/>
              </w:rPr>
              <w:t>scheint d</w:t>
            </w:r>
            <w:r w:rsidR="00C8240E">
              <w:rPr>
                <w:spacing w:val="-1"/>
              </w:rPr>
              <w:t>ie Einführung eines Vorranggrundsat</w:t>
            </w:r>
            <w:r w:rsidR="0003337C">
              <w:rPr>
                <w:spacing w:val="-1"/>
              </w:rPr>
              <w:softHyphen/>
            </w:r>
            <w:r w:rsidR="00C8240E">
              <w:rPr>
                <w:spacing w:val="-1"/>
              </w:rPr>
              <w:t>zes zugunsten von Kooperationsvereinbarun</w:t>
            </w:r>
            <w:r w:rsidR="0003337C">
              <w:rPr>
                <w:spacing w:val="-1"/>
              </w:rPr>
              <w:softHyphen/>
            </w:r>
            <w:r w:rsidR="00C8240E">
              <w:rPr>
                <w:spacing w:val="-1"/>
              </w:rPr>
              <w:t xml:space="preserve">gen vor der Anwendung von Vorkaufsrechten sinnvoll, um die Akzeptanz </w:t>
            </w:r>
            <w:r>
              <w:rPr>
                <w:spacing w:val="-1"/>
              </w:rPr>
              <w:t>bei</w:t>
            </w:r>
            <w:r w:rsidR="00C8240E">
              <w:rPr>
                <w:spacing w:val="-1"/>
              </w:rPr>
              <w:t xml:space="preserve"> Gewässeranlie</w:t>
            </w:r>
            <w:r w:rsidR="0003337C">
              <w:rPr>
                <w:spacing w:val="-1"/>
              </w:rPr>
              <w:softHyphen/>
            </w:r>
            <w:r w:rsidR="00C8240E">
              <w:rPr>
                <w:spacing w:val="-1"/>
              </w:rPr>
              <w:t>gern für Belange des Gewässerschutzes zu stei</w:t>
            </w:r>
            <w:r w:rsidR="0003337C">
              <w:rPr>
                <w:spacing w:val="-1"/>
              </w:rPr>
              <w:softHyphen/>
            </w:r>
            <w:r w:rsidR="00C8240E">
              <w:rPr>
                <w:spacing w:val="-1"/>
              </w:rPr>
              <w:t>gern und Fortschritte bei der Flächeninan</w:t>
            </w:r>
            <w:r w:rsidR="0003337C">
              <w:rPr>
                <w:spacing w:val="-1"/>
              </w:rPr>
              <w:softHyphen/>
            </w:r>
            <w:r w:rsidR="00C8240E">
              <w:rPr>
                <w:spacing w:val="-1"/>
              </w:rPr>
              <w:t xml:space="preserve">spruchnahme im Rahmen der Umsetzung der WRRL zu erzielen.  </w:t>
            </w:r>
          </w:p>
          <w:p w14:paraId="7D1234F0" w14:textId="3EF6BF7E" w:rsidR="00E74E00" w:rsidRDefault="00E74E00" w:rsidP="0046479C">
            <w:pPr>
              <w:pStyle w:val="Textkrper"/>
              <w:tabs>
                <w:tab w:val="left" w:pos="1489"/>
              </w:tabs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  <w:r>
              <w:rPr>
                <w:spacing w:val="-1"/>
              </w:rPr>
              <w:t>Zu Abs. 5:</w:t>
            </w:r>
          </w:p>
          <w:p w14:paraId="3B594853" w14:textId="43892AB2" w:rsidR="00DA0F6F" w:rsidRDefault="00C8240E" w:rsidP="00E74E00">
            <w:pPr>
              <w:pStyle w:val="Textkrper"/>
              <w:tabs>
                <w:tab w:val="left" w:pos="1489"/>
              </w:tabs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  <w:r>
              <w:rPr>
                <w:spacing w:val="-1"/>
              </w:rPr>
              <w:t>Vor dem Hintergrund des b</w:t>
            </w:r>
            <w:r w:rsidR="009D012F">
              <w:rPr>
                <w:spacing w:val="-1"/>
              </w:rPr>
              <w:t>e</w:t>
            </w:r>
            <w:r>
              <w:rPr>
                <w:spacing w:val="-1"/>
              </w:rPr>
              <w:t>stehenden Klima</w:t>
            </w:r>
            <w:r w:rsidR="0003337C">
              <w:rPr>
                <w:spacing w:val="-1"/>
              </w:rPr>
              <w:softHyphen/>
            </w:r>
            <w:r>
              <w:rPr>
                <w:spacing w:val="-1"/>
              </w:rPr>
              <w:t>wandels wäre eine Anwendung der Bundesre</w:t>
            </w:r>
            <w:r w:rsidR="0003337C">
              <w:rPr>
                <w:spacing w:val="-1"/>
              </w:rPr>
              <w:softHyphen/>
            </w:r>
            <w:r>
              <w:rPr>
                <w:spacing w:val="-1"/>
              </w:rPr>
              <w:t>gelung aus § 99 a WHG wünschens</w:t>
            </w:r>
            <w:r w:rsidR="007D7FEC">
              <w:rPr>
                <w:spacing w:val="-1"/>
              </w:rPr>
              <w:t>w</w:t>
            </w:r>
            <w:r>
              <w:rPr>
                <w:spacing w:val="-1"/>
              </w:rPr>
              <w:t>ert, damit die Umsetzung von Hochwasserschutzmaßnah</w:t>
            </w:r>
            <w:r w:rsidR="0003337C">
              <w:rPr>
                <w:spacing w:val="-1"/>
              </w:rPr>
              <w:softHyphen/>
            </w:r>
            <w:r>
              <w:rPr>
                <w:spacing w:val="-1"/>
              </w:rPr>
              <w:t>men forciert werden kann. Zu diesem Zwecke ist im Rahmen des Hochwasserschutzgesetzes II § 99 a WHG aus Gründen der Beschleunigung eingeführt worden.</w:t>
            </w:r>
            <w:r w:rsidR="00425FEF">
              <w:rPr>
                <w:spacing w:val="-1"/>
              </w:rPr>
              <w:t xml:space="preserve"> Die ausdrückliche Nichtan</w:t>
            </w:r>
            <w:r w:rsidR="0003337C">
              <w:rPr>
                <w:spacing w:val="-1"/>
              </w:rPr>
              <w:softHyphen/>
            </w:r>
            <w:r w:rsidR="00425FEF">
              <w:rPr>
                <w:spacing w:val="-1"/>
              </w:rPr>
              <w:t xml:space="preserve">wendung </w:t>
            </w:r>
            <w:r w:rsidR="007D7FEC">
              <w:rPr>
                <w:spacing w:val="-1"/>
              </w:rPr>
              <w:t xml:space="preserve">in § 73 Abs. 5 LWG-E </w:t>
            </w:r>
            <w:r w:rsidR="00425FEF">
              <w:rPr>
                <w:spacing w:val="-1"/>
              </w:rPr>
              <w:t>wird den wach</w:t>
            </w:r>
            <w:r w:rsidR="0003337C">
              <w:rPr>
                <w:spacing w:val="-1"/>
              </w:rPr>
              <w:softHyphen/>
            </w:r>
            <w:r w:rsidR="00425FEF">
              <w:rPr>
                <w:spacing w:val="-1"/>
              </w:rPr>
              <w:t>senden Anforderungen an den Hochwasser</w:t>
            </w:r>
            <w:r w:rsidR="0003337C">
              <w:rPr>
                <w:spacing w:val="-1"/>
              </w:rPr>
              <w:softHyphen/>
            </w:r>
            <w:r w:rsidR="00425FEF">
              <w:rPr>
                <w:spacing w:val="-1"/>
              </w:rPr>
              <w:t>schutz in Zeiten des Klimawandels nicht ge</w:t>
            </w:r>
            <w:r w:rsidR="0003337C">
              <w:rPr>
                <w:spacing w:val="-1"/>
              </w:rPr>
              <w:softHyphen/>
            </w:r>
            <w:r w:rsidR="00425FEF">
              <w:rPr>
                <w:spacing w:val="-1"/>
              </w:rPr>
              <w:t>recht.</w:t>
            </w:r>
          </w:p>
        </w:tc>
      </w:tr>
      <w:tr w:rsidR="00C01F9E" w14:paraId="136D2A31" w14:textId="77777777" w:rsidTr="009D01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6" w:type="dxa"/>
          </w:tcPr>
          <w:p w14:paraId="29D3C446" w14:textId="77777777" w:rsidR="00C01F9E" w:rsidRDefault="00C01F9E" w:rsidP="008C15E4">
            <w:pPr>
              <w:pStyle w:val="Textkrper"/>
              <w:tabs>
                <w:tab w:val="left" w:pos="1489"/>
              </w:tabs>
              <w:spacing w:after="120" w:line="240" w:lineRule="auto"/>
              <w:jc w:val="left"/>
              <w:rPr>
                <w:spacing w:val="-1"/>
              </w:rPr>
            </w:pPr>
            <w:r>
              <w:rPr>
                <w:spacing w:val="-1"/>
              </w:rPr>
              <w:lastRenderedPageBreak/>
              <w:t>§ 79 LWG-E</w:t>
            </w:r>
          </w:p>
          <w:p w14:paraId="74E4C99F" w14:textId="47C1CD54" w:rsidR="00C01F9E" w:rsidRDefault="00C01F9E" w:rsidP="008C15E4">
            <w:pPr>
              <w:pStyle w:val="Textkrper"/>
              <w:tabs>
                <w:tab w:val="left" w:pos="1489"/>
              </w:tabs>
              <w:spacing w:after="120" w:line="240" w:lineRule="auto"/>
              <w:jc w:val="left"/>
              <w:rPr>
                <w:spacing w:val="-1"/>
              </w:rPr>
            </w:pPr>
            <w:r>
              <w:rPr>
                <w:spacing w:val="-1"/>
              </w:rPr>
              <w:t>Umlage</w:t>
            </w:r>
          </w:p>
        </w:tc>
        <w:tc>
          <w:tcPr>
            <w:tcW w:w="5251" w:type="dxa"/>
          </w:tcPr>
          <w:p w14:paraId="0817C855" w14:textId="73BDBBDE" w:rsidR="00C01F9E" w:rsidRDefault="00C01F9E" w:rsidP="007570AB">
            <w:pPr>
              <w:pStyle w:val="Textkrper"/>
              <w:tabs>
                <w:tab w:val="left" w:pos="1489"/>
              </w:tabs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  <w:r>
              <w:rPr>
                <w:spacing w:val="-1"/>
              </w:rPr>
              <w:t>Der WVER begrüßt die Klarstellung, die einen Gl</w:t>
            </w:r>
            <w:r w:rsidR="007570AB">
              <w:rPr>
                <w:spacing w:val="-1"/>
              </w:rPr>
              <w:t>eichklang mit den Regelungen zur Umlage des Aufwands für den Ausgleich der Wasserfüh</w:t>
            </w:r>
            <w:r w:rsidR="0003337C">
              <w:rPr>
                <w:spacing w:val="-1"/>
              </w:rPr>
              <w:softHyphen/>
            </w:r>
            <w:r w:rsidR="007570AB">
              <w:rPr>
                <w:spacing w:val="-1"/>
              </w:rPr>
              <w:t>rung (§ 67 LWG) und des Ausbauaufwands (§ 69 LWG) schafft.</w:t>
            </w:r>
          </w:p>
        </w:tc>
      </w:tr>
      <w:tr w:rsidR="00CF6135" w14:paraId="750F55F5" w14:textId="77777777" w:rsidTr="009D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6" w:type="dxa"/>
          </w:tcPr>
          <w:p w14:paraId="6C0B6EEB" w14:textId="77777777" w:rsidR="007116B7" w:rsidRDefault="00CF6135" w:rsidP="00CF6135">
            <w:pPr>
              <w:spacing w:after="120" w:line="276" w:lineRule="auto"/>
              <w:jc w:val="both"/>
              <w:rPr>
                <w:rFonts w:ascii="Arial" w:eastAsiaTheme="minorHAnsi" w:hAnsi="Arial" w:cs="Arial"/>
                <w:b w:val="0"/>
                <w:bCs w:val="0"/>
                <w:sz w:val="24"/>
                <w:szCs w:val="24"/>
                <w:lang w:eastAsia="en-US"/>
              </w:rPr>
            </w:pPr>
            <w:r w:rsidRPr="00221E0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§ 83 LWG-E </w:t>
            </w:r>
          </w:p>
          <w:p w14:paraId="3D3B4E33" w14:textId="0FDC1F8F" w:rsidR="00CF6135" w:rsidRPr="00221E0D" w:rsidRDefault="00CF6135" w:rsidP="00221E0D">
            <w:pPr>
              <w:pStyle w:val="Textkrper"/>
              <w:tabs>
                <w:tab w:val="left" w:pos="1489"/>
              </w:tabs>
              <w:spacing w:after="120" w:line="240" w:lineRule="auto"/>
              <w:jc w:val="left"/>
              <w:rPr>
                <w:spacing w:val="-1"/>
              </w:rPr>
            </w:pPr>
            <w:r w:rsidRPr="00221E0D">
              <w:rPr>
                <w:spacing w:val="-1"/>
              </w:rPr>
              <w:t>Festsetzung und vorläufige Si</w:t>
            </w:r>
            <w:r w:rsidR="0003337C">
              <w:rPr>
                <w:spacing w:val="-1"/>
              </w:rPr>
              <w:softHyphen/>
            </w:r>
            <w:r w:rsidRPr="00221E0D">
              <w:rPr>
                <w:spacing w:val="-1"/>
              </w:rPr>
              <w:t>cherung von Überschwem</w:t>
            </w:r>
            <w:r w:rsidR="0003337C">
              <w:rPr>
                <w:spacing w:val="-1"/>
              </w:rPr>
              <w:softHyphen/>
            </w:r>
            <w:r w:rsidRPr="00221E0D">
              <w:rPr>
                <w:spacing w:val="-1"/>
              </w:rPr>
              <w:t>mungsgebieten</w:t>
            </w:r>
          </w:p>
          <w:p w14:paraId="448F9BFA" w14:textId="77777777" w:rsidR="00CF6135" w:rsidRDefault="00CF6135" w:rsidP="008C15E4">
            <w:pPr>
              <w:pStyle w:val="Textkrper"/>
              <w:tabs>
                <w:tab w:val="left" w:pos="1489"/>
              </w:tabs>
              <w:spacing w:after="120" w:line="240" w:lineRule="auto"/>
              <w:jc w:val="left"/>
              <w:rPr>
                <w:spacing w:val="-1"/>
              </w:rPr>
            </w:pPr>
          </w:p>
        </w:tc>
        <w:tc>
          <w:tcPr>
            <w:tcW w:w="5251" w:type="dxa"/>
          </w:tcPr>
          <w:p w14:paraId="545FAA26" w14:textId="0717CD37" w:rsidR="00CF6135" w:rsidRDefault="007116B7" w:rsidP="0046479C">
            <w:pPr>
              <w:pStyle w:val="Textkrper"/>
              <w:tabs>
                <w:tab w:val="left" w:pos="1489"/>
              </w:tabs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  <w:r>
              <w:rPr>
                <w:spacing w:val="-1"/>
              </w:rPr>
              <w:t xml:space="preserve">Die Streichung der </w:t>
            </w:r>
            <w:r w:rsidR="005A398C">
              <w:rPr>
                <w:spacing w:val="-1"/>
              </w:rPr>
              <w:t>Regelung</w:t>
            </w:r>
            <w:r>
              <w:rPr>
                <w:spacing w:val="-1"/>
              </w:rPr>
              <w:t xml:space="preserve"> in Abs. 1</w:t>
            </w:r>
            <w:r w:rsidR="007570AB">
              <w:rPr>
                <w:spacing w:val="-1"/>
              </w:rPr>
              <w:t>,</w:t>
            </w:r>
            <w:r>
              <w:rPr>
                <w:spacing w:val="-1"/>
              </w:rPr>
              <w:t xml:space="preserve"> </w:t>
            </w:r>
            <w:r w:rsidR="00221E0D">
              <w:rPr>
                <w:spacing w:val="-1"/>
              </w:rPr>
              <w:t>rückge</w:t>
            </w:r>
            <w:r w:rsidR="0003337C">
              <w:rPr>
                <w:spacing w:val="-1"/>
              </w:rPr>
              <w:softHyphen/>
            </w:r>
            <w:r w:rsidR="00221E0D">
              <w:rPr>
                <w:spacing w:val="-1"/>
              </w:rPr>
              <w:t>winnb</w:t>
            </w:r>
            <w:r w:rsidR="005A398C">
              <w:rPr>
                <w:spacing w:val="-1"/>
              </w:rPr>
              <w:t>are Gebiete als Überschwemmungsge</w:t>
            </w:r>
            <w:r w:rsidR="0003337C">
              <w:rPr>
                <w:spacing w:val="-1"/>
              </w:rPr>
              <w:softHyphen/>
            </w:r>
            <w:r w:rsidR="005A398C">
              <w:rPr>
                <w:spacing w:val="-1"/>
              </w:rPr>
              <w:t>biete festzusetzen,</w:t>
            </w:r>
            <w:r>
              <w:rPr>
                <w:spacing w:val="-1"/>
              </w:rPr>
              <w:t xml:space="preserve"> wird mit dem Argument der Deregulierung begründet.</w:t>
            </w:r>
            <w:r w:rsidR="005A398C">
              <w:rPr>
                <w:spacing w:val="-1"/>
              </w:rPr>
              <w:t xml:space="preserve"> Angesichts der hohen Bedeutung des Hochwasserschutzes erscheint jedoch der Nutzen der Deregulierung nachran</w:t>
            </w:r>
            <w:r w:rsidR="0003337C">
              <w:rPr>
                <w:spacing w:val="-1"/>
              </w:rPr>
              <w:softHyphen/>
            </w:r>
            <w:r w:rsidR="005A398C">
              <w:rPr>
                <w:spacing w:val="-1"/>
              </w:rPr>
              <w:t>gig, sodass für ein Beibehalten der Regelung plädiert wird. Das Streichen der Regelung bildet das falsche Signal an den Vollzug.</w:t>
            </w:r>
          </w:p>
        </w:tc>
      </w:tr>
      <w:tr w:rsidR="0048133B" w14:paraId="6EF7F486" w14:textId="77777777" w:rsidTr="009D01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6" w:type="dxa"/>
          </w:tcPr>
          <w:p w14:paraId="34399AFF" w14:textId="77777777" w:rsidR="0048133B" w:rsidRDefault="0048133B" w:rsidP="008C15E4">
            <w:pPr>
              <w:pStyle w:val="Textkrper"/>
              <w:tabs>
                <w:tab w:val="left" w:pos="1489"/>
              </w:tabs>
              <w:spacing w:after="120" w:line="240" w:lineRule="auto"/>
              <w:jc w:val="left"/>
              <w:rPr>
                <w:spacing w:val="-1"/>
              </w:rPr>
            </w:pPr>
            <w:r>
              <w:rPr>
                <w:spacing w:val="-1"/>
              </w:rPr>
              <w:t>§ 101 LWG-E</w:t>
            </w:r>
          </w:p>
          <w:p w14:paraId="5CEABC88" w14:textId="7BE96A16" w:rsidR="0048133B" w:rsidRDefault="0048133B" w:rsidP="008C15E4">
            <w:pPr>
              <w:pStyle w:val="Textkrper"/>
              <w:tabs>
                <w:tab w:val="left" w:pos="1489"/>
              </w:tabs>
              <w:spacing w:after="120" w:line="240" w:lineRule="auto"/>
              <w:jc w:val="left"/>
              <w:rPr>
                <w:spacing w:val="-1"/>
              </w:rPr>
            </w:pPr>
            <w:r>
              <w:rPr>
                <w:spacing w:val="-1"/>
              </w:rPr>
              <w:t>Enteignung und Enteignungs</w:t>
            </w:r>
            <w:r w:rsidR="0003337C">
              <w:rPr>
                <w:spacing w:val="-1"/>
              </w:rPr>
              <w:softHyphen/>
            </w:r>
            <w:r>
              <w:rPr>
                <w:spacing w:val="-1"/>
              </w:rPr>
              <w:t>verfahren</w:t>
            </w:r>
          </w:p>
        </w:tc>
        <w:tc>
          <w:tcPr>
            <w:tcW w:w="5251" w:type="dxa"/>
          </w:tcPr>
          <w:p w14:paraId="344FA84A" w14:textId="45A02D06" w:rsidR="0048133B" w:rsidRDefault="00754428" w:rsidP="0046479C">
            <w:pPr>
              <w:pStyle w:val="Textkrper"/>
              <w:tabs>
                <w:tab w:val="left" w:pos="1489"/>
              </w:tabs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  <w:r>
              <w:rPr>
                <w:spacing w:val="-1"/>
              </w:rPr>
              <w:t>Der WVER begrüßt die Regelung, die damit die Planfeststellung über Pläne für die Durchführung von Unternehmen der Wasserverbände hinsichtlich ihrer enteignungsrechtlichen (Vor-)Wirkung der wasserrechtlichen Planfeststellung zum Gewässerausbau gleichstellt.</w:t>
            </w:r>
          </w:p>
        </w:tc>
      </w:tr>
      <w:tr w:rsidR="005E4FA2" w14:paraId="07ABC430" w14:textId="77777777" w:rsidTr="009D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6" w:type="dxa"/>
          </w:tcPr>
          <w:p w14:paraId="59857E59" w14:textId="77777777" w:rsidR="005E4FA2" w:rsidRDefault="005E4FA2" w:rsidP="008C15E4">
            <w:pPr>
              <w:pStyle w:val="Textkrper"/>
              <w:tabs>
                <w:tab w:val="left" w:pos="1489"/>
              </w:tabs>
              <w:spacing w:after="120" w:line="240" w:lineRule="auto"/>
              <w:jc w:val="left"/>
              <w:rPr>
                <w:spacing w:val="-1"/>
              </w:rPr>
            </w:pPr>
            <w:r>
              <w:rPr>
                <w:spacing w:val="-1"/>
              </w:rPr>
              <w:t>§ 107 LWG-E</w:t>
            </w:r>
          </w:p>
          <w:p w14:paraId="1C57FD63" w14:textId="2C1D0285" w:rsidR="005E4FA2" w:rsidRDefault="005E4FA2" w:rsidP="008C15E4">
            <w:pPr>
              <w:pStyle w:val="Textkrper"/>
              <w:tabs>
                <w:tab w:val="left" w:pos="1489"/>
              </w:tabs>
              <w:spacing w:after="120" w:line="240" w:lineRule="auto"/>
              <w:jc w:val="left"/>
              <w:rPr>
                <w:spacing w:val="-1"/>
              </w:rPr>
            </w:pPr>
            <w:r>
              <w:rPr>
                <w:spacing w:val="-1"/>
              </w:rPr>
              <w:t>Gewässerausbauverfahren</w:t>
            </w:r>
          </w:p>
        </w:tc>
        <w:tc>
          <w:tcPr>
            <w:tcW w:w="5251" w:type="dxa"/>
          </w:tcPr>
          <w:p w14:paraId="76A088C4" w14:textId="27AD2514" w:rsidR="005E4FA2" w:rsidRDefault="005E4FA2" w:rsidP="0046479C">
            <w:pPr>
              <w:pStyle w:val="Textkrper"/>
              <w:tabs>
                <w:tab w:val="left" w:pos="1489"/>
              </w:tabs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  <w:r>
              <w:rPr>
                <w:spacing w:val="-1"/>
              </w:rPr>
              <w:t>Der WVER begrüßt die Regelung, da der Voll</w:t>
            </w:r>
            <w:r w:rsidR="0003337C">
              <w:rPr>
                <w:spacing w:val="-1"/>
              </w:rPr>
              <w:softHyphen/>
            </w:r>
            <w:r>
              <w:rPr>
                <w:spacing w:val="-1"/>
              </w:rPr>
              <w:t xml:space="preserve">zug das Bedürfnis </w:t>
            </w:r>
            <w:r w:rsidR="007A4477">
              <w:rPr>
                <w:spacing w:val="-1"/>
              </w:rPr>
              <w:t>auf</w:t>
            </w:r>
            <w:r>
              <w:rPr>
                <w:spacing w:val="-1"/>
              </w:rPr>
              <w:t>gezeigt hat, auf unvorherseh</w:t>
            </w:r>
            <w:r w:rsidR="0003337C">
              <w:rPr>
                <w:spacing w:val="-1"/>
              </w:rPr>
              <w:softHyphen/>
            </w:r>
            <w:r>
              <w:rPr>
                <w:spacing w:val="-1"/>
              </w:rPr>
              <w:t xml:space="preserve">bare Hindernisse reagieren zu </w:t>
            </w:r>
            <w:r>
              <w:rPr>
                <w:spacing w:val="-1"/>
              </w:rPr>
              <w:lastRenderedPageBreak/>
              <w:t>können, ohne er</w:t>
            </w:r>
            <w:r w:rsidR="0003337C">
              <w:rPr>
                <w:spacing w:val="-1"/>
              </w:rPr>
              <w:softHyphen/>
            </w:r>
            <w:r>
              <w:rPr>
                <w:spacing w:val="-1"/>
              </w:rPr>
              <w:t>neute Planfeststellungs</w:t>
            </w:r>
            <w:r w:rsidR="007A4477">
              <w:rPr>
                <w:spacing w:val="-1"/>
              </w:rPr>
              <w:t>-</w:t>
            </w:r>
            <w:r>
              <w:rPr>
                <w:spacing w:val="-1"/>
              </w:rPr>
              <w:t>verfahren betreiben zu müssen.</w:t>
            </w:r>
          </w:p>
        </w:tc>
      </w:tr>
      <w:tr w:rsidR="0048133B" w14:paraId="1B6FF989" w14:textId="77777777" w:rsidTr="009D01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6" w:type="dxa"/>
          </w:tcPr>
          <w:p w14:paraId="675174E9" w14:textId="77777777" w:rsidR="0048133B" w:rsidRDefault="0048133B" w:rsidP="008C15E4">
            <w:pPr>
              <w:pStyle w:val="Textkrper"/>
              <w:tabs>
                <w:tab w:val="left" w:pos="1489"/>
              </w:tabs>
              <w:spacing w:after="120" w:line="240" w:lineRule="auto"/>
              <w:jc w:val="left"/>
              <w:rPr>
                <w:spacing w:val="-1"/>
              </w:rPr>
            </w:pPr>
            <w:r>
              <w:rPr>
                <w:spacing w:val="-1"/>
              </w:rPr>
              <w:lastRenderedPageBreak/>
              <w:t>§ 109 LWG-E</w:t>
            </w:r>
          </w:p>
          <w:p w14:paraId="206990C7" w14:textId="75CFF7F1" w:rsidR="0048133B" w:rsidRDefault="0048133B" w:rsidP="008C15E4">
            <w:pPr>
              <w:pStyle w:val="Textkrper"/>
              <w:tabs>
                <w:tab w:val="left" w:pos="1489"/>
              </w:tabs>
              <w:spacing w:after="120" w:line="240" w:lineRule="auto"/>
              <w:jc w:val="left"/>
              <w:rPr>
                <w:spacing w:val="-1"/>
              </w:rPr>
            </w:pPr>
            <w:r>
              <w:rPr>
                <w:spacing w:val="-1"/>
              </w:rPr>
              <w:t>Sachverständige</w:t>
            </w:r>
          </w:p>
        </w:tc>
        <w:tc>
          <w:tcPr>
            <w:tcW w:w="5251" w:type="dxa"/>
          </w:tcPr>
          <w:p w14:paraId="0CE3D506" w14:textId="5133052C" w:rsidR="0048133B" w:rsidRDefault="0048133B" w:rsidP="005E4FA2">
            <w:pPr>
              <w:pStyle w:val="Textkrper"/>
              <w:tabs>
                <w:tab w:val="left" w:pos="1489"/>
              </w:tabs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  <w:r>
              <w:rPr>
                <w:spacing w:val="-1"/>
              </w:rPr>
              <w:t xml:space="preserve">Der WVER begrüßt die Regelung, </w:t>
            </w:r>
            <w:r w:rsidR="005E4FA2">
              <w:rPr>
                <w:spacing w:val="-1"/>
              </w:rPr>
              <w:t>da sie die hie</w:t>
            </w:r>
            <w:r w:rsidR="0003337C">
              <w:rPr>
                <w:spacing w:val="-1"/>
              </w:rPr>
              <w:softHyphen/>
            </w:r>
            <w:r w:rsidR="005E4FA2">
              <w:rPr>
                <w:spacing w:val="-1"/>
              </w:rPr>
              <w:t>sigen Bedenken aufgreift, die Vorschrift könn</w:t>
            </w:r>
            <w:r w:rsidR="00C82E35">
              <w:rPr>
                <w:spacing w:val="-1"/>
              </w:rPr>
              <w:t>t</w:t>
            </w:r>
            <w:r w:rsidR="005E4FA2">
              <w:rPr>
                <w:spacing w:val="-1"/>
              </w:rPr>
              <w:t>e in ihrer bisherigen Formulierung von den Was</w:t>
            </w:r>
            <w:r w:rsidR="0003337C">
              <w:rPr>
                <w:spacing w:val="-1"/>
              </w:rPr>
              <w:softHyphen/>
            </w:r>
            <w:r w:rsidR="005E4FA2">
              <w:rPr>
                <w:spacing w:val="-1"/>
              </w:rPr>
              <w:t>serbehörden ausufernd angewandt werden. Zu</w:t>
            </w:r>
            <w:r w:rsidR="0003337C">
              <w:rPr>
                <w:spacing w:val="-1"/>
              </w:rPr>
              <w:softHyphen/>
            </w:r>
            <w:r w:rsidR="005E4FA2">
              <w:rPr>
                <w:spacing w:val="-1"/>
              </w:rPr>
              <w:t>dem stellt sie den von der Rechtsprechung an</w:t>
            </w:r>
            <w:r w:rsidR="0003337C">
              <w:rPr>
                <w:spacing w:val="-1"/>
              </w:rPr>
              <w:softHyphen/>
            </w:r>
            <w:r w:rsidR="005E4FA2">
              <w:rPr>
                <w:spacing w:val="-1"/>
              </w:rPr>
              <w:t>gewandten Grundsatz, dass Sachverständige nur herangezogen werden können, wenn ihre Heranziehung notwendig ist, auch als gesetzge</w:t>
            </w:r>
            <w:r w:rsidR="0003337C">
              <w:rPr>
                <w:spacing w:val="-1"/>
              </w:rPr>
              <w:softHyphen/>
            </w:r>
            <w:r w:rsidR="005E4FA2">
              <w:rPr>
                <w:spacing w:val="-1"/>
              </w:rPr>
              <w:t>berischen Willen klar.</w:t>
            </w:r>
          </w:p>
        </w:tc>
      </w:tr>
    </w:tbl>
    <w:p w14:paraId="37F4C2EC" w14:textId="54078D99" w:rsidR="0048133B" w:rsidRDefault="0048133B" w:rsidP="0046479C">
      <w:pPr>
        <w:pStyle w:val="Textkrper"/>
        <w:tabs>
          <w:tab w:val="left" w:pos="1489"/>
        </w:tabs>
        <w:spacing w:after="120" w:line="240" w:lineRule="auto"/>
        <w:ind w:left="74"/>
        <w:rPr>
          <w:spacing w:val="-1"/>
        </w:rPr>
      </w:pPr>
    </w:p>
    <w:p w14:paraId="31D3F81C" w14:textId="32FB5399" w:rsidR="009D012F" w:rsidRDefault="009D012F" w:rsidP="009D012F">
      <w:pPr>
        <w:pStyle w:val="Textkrper"/>
        <w:tabs>
          <w:tab w:val="left" w:pos="1489"/>
        </w:tabs>
        <w:spacing w:after="120" w:line="240" w:lineRule="auto"/>
        <w:ind w:left="74"/>
        <w:rPr>
          <w:spacing w:val="-1"/>
        </w:rPr>
      </w:pPr>
    </w:p>
    <w:tbl>
      <w:tblPr>
        <w:tblStyle w:val="Tabellenraster"/>
        <w:tblW w:w="0" w:type="auto"/>
        <w:tblInd w:w="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4497"/>
      </w:tblGrid>
      <w:tr w:rsidR="00C10080" w14:paraId="56E44B9C" w14:textId="77777777" w:rsidTr="009D012F">
        <w:tc>
          <w:tcPr>
            <w:tcW w:w="4531" w:type="dxa"/>
          </w:tcPr>
          <w:p w14:paraId="2E6325F9" w14:textId="77777777" w:rsidR="009D012F" w:rsidRDefault="009D012F" w:rsidP="0046479C">
            <w:pPr>
              <w:pStyle w:val="Textkrper"/>
              <w:tabs>
                <w:tab w:val="left" w:pos="1489"/>
              </w:tabs>
              <w:spacing w:after="120" w:line="240" w:lineRule="auto"/>
              <w:rPr>
                <w:spacing w:val="-1"/>
              </w:rPr>
            </w:pPr>
          </w:p>
          <w:p w14:paraId="26E4ADB9" w14:textId="77777777" w:rsidR="009D012F" w:rsidRDefault="009D012F" w:rsidP="0046479C">
            <w:pPr>
              <w:pStyle w:val="Textkrper"/>
              <w:tabs>
                <w:tab w:val="left" w:pos="1489"/>
              </w:tabs>
              <w:spacing w:after="120" w:line="240" w:lineRule="auto"/>
              <w:rPr>
                <w:spacing w:val="-1"/>
              </w:rPr>
            </w:pPr>
          </w:p>
          <w:p w14:paraId="235E88B1" w14:textId="7C34FB86" w:rsidR="009D012F" w:rsidRDefault="00C10080" w:rsidP="0046479C">
            <w:pPr>
              <w:pStyle w:val="Textkrper"/>
              <w:tabs>
                <w:tab w:val="left" w:pos="1489"/>
              </w:tabs>
              <w:spacing w:after="120" w:line="240" w:lineRule="auto"/>
              <w:rPr>
                <w:spacing w:val="-1"/>
              </w:rPr>
            </w:pPr>
            <w:r>
              <w:rPr>
                <w:noProof/>
                <w:spacing w:val="-1"/>
              </w:rPr>
              <w:drawing>
                <wp:inline distT="0" distB="0" distL="0" distR="0" wp14:anchorId="5D9E7CD1" wp14:editId="1E9EA01A">
                  <wp:extent cx="1928715" cy="458378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iesen_Digitale Unterschrift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4378" cy="495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1D0A0A" w14:textId="77777777" w:rsidR="009D012F" w:rsidRDefault="009D012F" w:rsidP="0046479C">
            <w:pPr>
              <w:pStyle w:val="Textkrper"/>
              <w:tabs>
                <w:tab w:val="left" w:pos="1489"/>
              </w:tabs>
              <w:spacing w:after="120" w:line="240" w:lineRule="auto"/>
              <w:rPr>
                <w:spacing w:val="-1"/>
              </w:rPr>
            </w:pPr>
            <w:r>
              <w:rPr>
                <w:spacing w:val="-1"/>
              </w:rPr>
              <w:t>Frank Niesen</w:t>
            </w:r>
          </w:p>
          <w:p w14:paraId="2537EEFA" w14:textId="77777777" w:rsidR="00792EBD" w:rsidRDefault="00792EBD" w:rsidP="0046479C">
            <w:pPr>
              <w:pStyle w:val="Textkrper"/>
              <w:tabs>
                <w:tab w:val="left" w:pos="1489"/>
              </w:tabs>
              <w:spacing w:after="120" w:line="240" w:lineRule="auto"/>
              <w:rPr>
                <w:spacing w:val="-1"/>
              </w:rPr>
            </w:pPr>
          </w:p>
          <w:p w14:paraId="055567F7" w14:textId="77777777" w:rsidR="00792EBD" w:rsidRDefault="00792EBD" w:rsidP="0046479C">
            <w:pPr>
              <w:pStyle w:val="Textkrper"/>
              <w:tabs>
                <w:tab w:val="left" w:pos="1489"/>
              </w:tabs>
              <w:spacing w:after="120" w:line="240" w:lineRule="auto"/>
              <w:rPr>
                <w:spacing w:val="-1"/>
              </w:rPr>
            </w:pPr>
          </w:p>
          <w:p w14:paraId="3615D5DF" w14:textId="1D5642C4" w:rsidR="00792EBD" w:rsidRDefault="00792EBD" w:rsidP="0046479C">
            <w:pPr>
              <w:pStyle w:val="Textkrper"/>
              <w:tabs>
                <w:tab w:val="left" w:pos="1489"/>
              </w:tabs>
              <w:spacing w:after="120" w:line="240" w:lineRule="auto"/>
              <w:rPr>
                <w:spacing w:val="-1"/>
              </w:rPr>
            </w:pPr>
            <w:r>
              <w:rPr>
                <w:spacing w:val="-1"/>
              </w:rPr>
              <w:t>Datum: 2</w:t>
            </w:r>
            <w:r w:rsidR="00754428">
              <w:rPr>
                <w:spacing w:val="-1"/>
              </w:rPr>
              <w:t>5</w:t>
            </w:r>
            <w:r>
              <w:rPr>
                <w:spacing w:val="-1"/>
              </w:rPr>
              <w:t>.05.2020</w:t>
            </w:r>
          </w:p>
        </w:tc>
        <w:tc>
          <w:tcPr>
            <w:tcW w:w="4531" w:type="dxa"/>
          </w:tcPr>
          <w:p w14:paraId="1F0B5E71" w14:textId="77777777" w:rsidR="009D012F" w:rsidRDefault="009D012F" w:rsidP="0046479C">
            <w:pPr>
              <w:pStyle w:val="Textkrper"/>
              <w:tabs>
                <w:tab w:val="left" w:pos="1489"/>
              </w:tabs>
              <w:spacing w:after="120" w:line="240" w:lineRule="auto"/>
              <w:rPr>
                <w:spacing w:val="-1"/>
              </w:rPr>
            </w:pPr>
          </w:p>
          <w:p w14:paraId="4562A541" w14:textId="47FC3EA0" w:rsidR="009D012F" w:rsidRDefault="009D012F" w:rsidP="0046479C">
            <w:pPr>
              <w:pStyle w:val="Textkrper"/>
              <w:tabs>
                <w:tab w:val="left" w:pos="1489"/>
              </w:tabs>
              <w:spacing w:after="120" w:line="240" w:lineRule="auto"/>
              <w:rPr>
                <w:spacing w:val="-1"/>
              </w:rPr>
            </w:pPr>
            <w:r w:rsidRPr="009D012F">
              <w:rPr>
                <w:noProof/>
                <w:spacing w:val="-1"/>
              </w:rPr>
              <w:drawing>
                <wp:inline distT="0" distB="0" distL="0" distR="0" wp14:anchorId="4E1F01B4" wp14:editId="367E74CD">
                  <wp:extent cx="1820665" cy="677545"/>
                  <wp:effectExtent l="0" t="0" r="8255" b="8255"/>
                  <wp:docPr id="4" name="Grafik 4" descr="U:\2020\Unterschrift NE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:\2020\Unterschrift NE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493" cy="690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81647E" w14:textId="77777777" w:rsidR="009D012F" w:rsidRDefault="009D012F" w:rsidP="0046479C">
            <w:pPr>
              <w:pStyle w:val="Textkrper"/>
              <w:tabs>
                <w:tab w:val="left" w:pos="1489"/>
              </w:tabs>
              <w:spacing w:after="120" w:line="240" w:lineRule="auto"/>
              <w:rPr>
                <w:spacing w:val="-1"/>
              </w:rPr>
            </w:pPr>
            <w:r>
              <w:rPr>
                <w:spacing w:val="-1"/>
              </w:rPr>
              <w:t xml:space="preserve">Vera </w:t>
            </w:r>
            <w:proofErr w:type="spellStart"/>
            <w:r>
              <w:rPr>
                <w:spacing w:val="-1"/>
              </w:rPr>
              <w:t>Götzkes</w:t>
            </w:r>
            <w:proofErr w:type="spellEnd"/>
          </w:p>
          <w:p w14:paraId="17C42A16" w14:textId="77777777" w:rsidR="005054E5" w:rsidRDefault="005054E5" w:rsidP="0046479C">
            <w:pPr>
              <w:pStyle w:val="Textkrper"/>
              <w:tabs>
                <w:tab w:val="left" w:pos="1489"/>
              </w:tabs>
              <w:spacing w:after="120" w:line="240" w:lineRule="auto"/>
              <w:rPr>
                <w:spacing w:val="-1"/>
              </w:rPr>
            </w:pPr>
          </w:p>
          <w:p w14:paraId="2225A663" w14:textId="77777777" w:rsidR="005054E5" w:rsidRDefault="005054E5" w:rsidP="0046479C">
            <w:pPr>
              <w:pStyle w:val="Textkrper"/>
              <w:tabs>
                <w:tab w:val="left" w:pos="1489"/>
              </w:tabs>
              <w:spacing w:after="120" w:line="240" w:lineRule="auto"/>
              <w:rPr>
                <w:spacing w:val="-1"/>
              </w:rPr>
            </w:pPr>
          </w:p>
          <w:p w14:paraId="7EBA949D" w14:textId="5B8F43B7" w:rsidR="005054E5" w:rsidRDefault="005054E5" w:rsidP="0046479C">
            <w:pPr>
              <w:pStyle w:val="Textkrper"/>
              <w:tabs>
                <w:tab w:val="left" w:pos="1489"/>
              </w:tabs>
              <w:spacing w:after="120" w:line="240" w:lineRule="auto"/>
              <w:rPr>
                <w:spacing w:val="-1"/>
              </w:rPr>
            </w:pPr>
          </w:p>
        </w:tc>
      </w:tr>
    </w:tbl>
    <w:p w14:paraId="5369C0CC" w14:textId="77777777" w:rsidR="009D012F" w:rsidRPr="002805C3" w:rsidRDefault="009D012F" w:rsidP="009D012F">
      <w:pPr>
        <w:pStyle w:val="Textkrper"/>
        <w:tabs>
          <w:tab w:val="left" w:pos="1489"/>
        </w:tabs>
        <w:spacing w:after="120" w:line="240" w:lineRule="auto"/>
        <w:ind w:left="74"/>
        <w:rPr>
          <w:spacing w:val="-1"/>
        </w:rPr>
      </w:pPr>
    </w:p>
    <w:sectPr w:rsidR="009D012F" w:rsidRPr="002805C3" w:rsidSect="0035328E">
      <w:headerReference w:type="default" r:id="rId12"/>
      <w:footerReference w:type="default" r:id="rId13"/>
      <w:pgSz w:w="11906" w:h="16838"/>
      <w:pgMar w:top="212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8E016" w14:textId="77777777" w:rsidR="00E0686F" w:rsidRDefault="00E0686F" w:rsidP="000E1C0A">
      <w:r>
        <w:separator/>
      </w:r>
    </w:p>
  </w:endnote>
  <w:endnote w:type="continuationSeparator" w:id="0">
    <w:p w14:paraId="4CBDF72D" w14:textId="77777777" w:rsidR="00E0686F" w:rsidRDefault="00E0686F" w:rsidP="000E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16B27" w14:textId="05E9D1C7" w:rsidR="00C01F9E" w:rsidRPr="0035328E" w:rsidRDefault="00C01F9E" w:rsidP="0046479C">
    <w:pPr>
      <w:pStyle w:val="Textkrper"/>
      <w:tabs>
        <w:tab w:val="left" w:pos="2410"/>
        <w:tab w:val="left" w:pos="5245"/>
      </w:tabs>
      <w:spacing w:after="0" w:line="240" w:lineRule="auto"/>
      <w:rPr>
        <w:snapToGrid w:val="0"/>
        <w:spacing w:val="2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548B3" w14:textId="77777777" w:rsidR="00E0686F" w:rsidRDefault="00E0686F" w:rsidP="000E1C0A">
      <w:r>
        <w:separator/>
      </w:r>
    </w:p>
  </w:footnote>
  <w:footnote w:type="continuationSeparator" w:id="0">
    <w:p w14:paraId="68967CC6" w14:textId="77777777" w:rsidR="00E0686F" w:rsidRDefault="00E0686F" w:rsidP="000E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61615" w14:textId="597FEC0D" w:rsidR="00C01F9E" w:rsidRDefault="00C01F9E" w:rsidP="000E1C0A">
    <w:pPr>
      <w:spacing w:line="200" w:lineRule="atLeast"/>
      <w:ind w:left="6946"/>
    </w:pPr>
    <w:r w:rsidRPr="0025146D">
      <w:rPr>
        <w:noProof/>
      </w:rPr>
      <w:drawing>
        <wp:anchor distT="0" distB="0" distL="114300" distR="114300" simplePos="0" relativeHeight="251662336" behindDoc="1" locked="0" layoutInCell="1" allowOverlap="1" wp14:anchorId="31F857E0" wp14:editId="76F2ABB3">
          <wp:simplePos x="0" y="0"/>
          <wp:positionH relativeFrom="margin">
            <wp:align>right</wp:align>
          </wp:positionH>
          <wp:positionV relativeFrom="paragraph">
            <wp:posOffset>-49530</wp:posOffset>
          </wp:positionV>
          <wp:extent cx="1416599" cy="770700"/>
          <wp:effectExtent l="0" t="0" r="0" b="0"/>
          <wp:wrapNone/>
          <wp:docPr id="1" name="Grafik 1" descr="\\filer1\Verbandsgremien\Logo_Damit Leben im Fluss bleibt\Print\WVR_neues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iler1\Verbandsgremien\Logo_Damit Leben im Fluss bleibt\Print\WVR_neues_logo_claim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599" cy="77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2D4052" w14:textId="731ED6AD" w:rsidR="00C01F9E" w:rsidRDefault="00C01F9E" w:rsidP="0048133B">
    <w:pPr>
      <w:spacing w:after="120"/>
      <w:rPr>
        <w:rFonts w:ascii="Arial" w:eastAsiaTheme="minorEastAsia" w:hAnsi="Arial" w:cs="Arial"/>
        <w:b/>
        <w:i/>
        <w:sz w:val="36"/>
        <w:szCs w:val="36"/>
        <w:u w:val="single"/>
        <w:lang w:eastAsia="en-US"/>
      </w:rPr>
    </w:pPr>
    <w:r w:rsidRPr="0046479C">
      <w:rPr>
        <w:rFonts w:ascii="Arial" w:eastAsiaTheme="minorEastAsia" w:hAnsi="Arial" w:cs="Arial"/>
        <w:b/>
        <w:i/>
        <w:sz w:val="36"/>
        <w:szCs w:val="36"/>
        <w:u w:val="single"/>
        <w:lang w:eastAsia="en-US"/>
      </w:rPr>
      <w:t xml:space="preserve">Stellungnahme </w:t>
    </w:r>
    <w:r>
      <w:rPr>
        <w:rFonts w:ascii="Arial" w:eastAsiaTheme="minorEastAsia" w:hAnsi="Arial" w:cs="Arial"/>
        <w:b/>
        <w:i/>
        <w:sz w:val="36"/>
        <w:szCs w:val="36"/>
        <w:u w:val="single"/>
        <w:lang w:eastAsia="en-US"/>
      </w:rPr>
      <w:t xml:space="preserve">des </w:t>
    </w:r>
    <w:r w:rsidRPr="0046479C">
      <w:rPr>
        <w:rFonts w:ascii="Arial" w:eastAsiaTheme="minorEastAsia" w:hAnsi="Arial" w:cs="Arial"/>
        <w:b/>
        <w:i/>
        <w:sz w:val="36"/>
        <w:szCs w:val="36"/>
        <w:u w:val="single"/>
        <w:lang w:eastAsia="en-US"/>
      </w:rPr>
      <w:t>WVER</w:t>
    </w:r>
    <w:r>
      <w:rPr>
        <w:rFonts w:ascii="Arial" w:eastAsiaTheme="minorEastAsia" w:hAnsi="Arial" w:cs="Arial"/>
        <w:b/>
        <w:i/>
        <w:sz w:val="36"/>
        <w:szCs w:val="36"/>
        <w:u w:val="single"/>
        <w:lang w:eastAsia="en-US"/>
      </w:rPr>
      <w:t xml:space="preserve"> an die </w:t>
    </w:r>
    <w:proofErr w:type="spellStart"/>
    <w:r>
      <w:rPr>
        <w:rFonts w:ascii="Arial" w:eastAsiaTheme="minorEastAsia" w:hAnsi="Arial" w:cs="Arial"/>
        <w:b/>
        <w:i/>
        <w:sz w:val="36"/>
        <w:szCs w:val="36"/>
        <w:u w:val="single"/>
        <w:lang w:eastAsia="en-US"/>
      </w:rPr>
      <w:t>agw</w:t>
    </w:r>
    <w:proofErr w:type="spellEnd"/>
    <w:r w:rsidRPr="0046479C">
      <w:rPr>
        <w:rFonts w:ascii="Arial" w:eastAsiaTheme="minorEastAsia" w:hAnsi="Arial" w:cs="Arial"/>
        <w:b/>
        <w:i/>
        <w:sz w:val="36"/>
        <w:szCs w:val="36"/>
        <w:u w:val="single"/>
        <w:lang w:eastAsia="en-US"/>
      </w:rPr>
      <w:t xml:space="preserve"> </w:t>
    </w:r>
  </w:p>
  <w:p w14:paraId="7792EF39" w14:textId="2DF7CD78" w:rsidR="00C01F9E" w:rsidRPr="0046479C" w:rsidRDefault="00C01F9E" w:rsidP="0048133B">
    <w:pPr>
      <w:spacing w:after="120"/>
      <w:rPr>
        <w:rFonts w:ascii="Arial" w:eastAsiaTheme="minorEastAsia" w:hAnsi="Arial" w:cs="Arial"/>
        <w:b/>
        <w:i/>
        <w:sz w:val="36"/>
        <w:szCs w:val="36"/>
        <w:u w:val="single"/>
        <w:lang w:eastAsia="en-US"/>
      </w:rPr>
    </w:pPr>
    <w:r w:rsidRPr="0046479C">
      <w:rPr>
        <w:rFonts w:ascii="Arial" w:eastAsiaTheme="minorEastAsia" w:hAnsi="Arial" w:cs="Arial"/>
        <w:b/>
        <w:i/>
        <w:sz w:val="36"/>
        <w:szCs w:val="36"/>
        <w:u w:val="single"/>
        <w:lang w:eastAsia="en-US"/>
      </w:rPr>
      <w:t>zum LWG-Entwurf</w:t>
    </w:r>
    <w:r>
      <w:rPr>
        <w:rFonts w:ascii="Arial" w:eastAsiaTheme="minorEastAsia" w:hAnsi="Arial" w:cs="Arial"/>
        <w:b/>
        <w:i/>
        <w:sz w:val="36"/>
        <w:szCs w:val="36"/>
        <w:u w:val="single"/>
        <w:lang w:eastAsia="en-US"/>
      </w:rPr>
      <w:t xml:space="preserve"> Stand Mai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B13E9"/>
    <w:multiLevelType w:val="hybridMultilevel"/>
    <w:tmpl w:val="2DE0486C"/>
    <w:lvl w:ilvl="0" w:tplc="46D6DB1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CB3EB4"/>
    <w:multiLevelType w:val="hybridMultilevel"/>
    <w:tmpl w:val="06A4058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23B39"/>
    <w:multiLevelType w:val="hybridMultilevel"/>
    <w:tmpl w:val="1812B0F8"/>
    <w:lvl w:ilvl="0" w:tplc="CC36E5D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B438B"/>
    <w:multiLevelType w:val="hybridMultilevel"/>
    <w:tmpl w:val="E2C06D4C"/>
    <w:lvl w:ilvl="0" w:tplc="D9F893C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C0A"/>
    <w:rsid w:val="00010BDA"/>
    <w:rsid w:val="0001170A"/>
    <w:rsid w:val="000163E7"/>
    <w:rsid w:val="00017C13"/>
    <w:rsid w:val="0003337C"/>
    <w:rsid w:val="00041A87"/>
    <w:rsid w:val="000B6041"/>
    <w:rsid w:val="000D12E2"/>
    <w:rsid w:val="000E1C0A"/>
    <w:rsid w:val="000F04FE"/>
    <w:rsid w:val="000F4CFF"/>
    <w:rsid w:val="00126BA7"/>
    <w:rsid w:val="00146BB5"/>
    <w:rsid w:val="00195432"/>
    <w:rsid w:val="001C5673"/>
    <w:rsid w:val="00221E0D"/>
    <w:rsid w:val="0024149F"/>
    <w:rsid w:val="00241718"/>
    <w:rsid w:val="0025146D"/>
    <w:rsid w:val="002610EB"/>
    <w:rsid w:val="002C06F0"/>
    <w:rsid w:val="00306E50"/>
    <w:rsid w:val="00352E17"/>
    <w:rsid w:val="0035328E"/>
    <w:rsid w:val="00364FCE"/>
    <w:rsid w:val="00365230"/>
    <w:rsid w:val="003655B0"/>
    <w:rsid w:val="00371245"/>
    <w:rsid w:val="00384430"/>
    <w:rsid w:val="003A3E06"/>
    <w:rsid w:val="003B14CA"/>
    <w:rsid w:val="003B569F"/>
    <w:rsid w:val="00406409"/>
    <w:rsid w:val="00425FEF"/>
    <w:rsid w:val="0046479C"/>
    <w:rsid w:val="0047121B"/>
    <w:rsid w:val="0048133B"/>
    <w:rsid w:val="004A4605"/>
    <w:rsid w:val="004D4694"/>
    <w:rsid w:val="004D540C"/>
    <w:rsid w:val="004D60C6"/>
    <w:rsid w:val="004F0EF8"/>
    <w:rsid w:val="005054E5"/>
    <w:rsid w:val="00510815"/>
    <w:rsid w:val="005506BC"/>
    <w:rsid w:val="005A398C"/>
    <w:rsid w:val="005E4FA2"/>
    <w:rsid w:val="005F39E8"/>
    <w:rsid w:val="005F5E60"/>
    <w:rsid w:val="0062781B"/>
    <w:rsid w:val="006B4462"/>
    <w:rsid w:val="006E523B"/>
    <w:rsid w:val="007116B7"/>
    <w:rsid w:val="00754428"/>
    <w:rsid w:val="007570AB"/>
    <w:rsid w:val="00760FDE"/>
    <w:rsid w:val="00774D5A"/>
    <w:rsid w:val="00792EBD"/>
    <w:rsid w:val="007A4477"/>
    <w:rsid w:val="007D15BF"/>
    <w:rsid w:val="007D7FEC"/>
    <w:rsid w:val="007E00FC"/>
    <w:rsid w:val="007E6381"/>
    <w:rsid w:val="008017A7"/>
    <w:rsid w:val="00845473"/>
    <w:rsid w:val="008604E4"/>
    <w:rsid w:val="008737AE"/>
    <w:rsid w:val="0088480F"/>
    <w:rsid w:val="00885A8D"/>
    <w:rsid w:val="00891CFE"/>
    <w:rsid w:val="008C15E4"/>
    <w:rsid w:val="00916726"/>
    <w:rsid w:val="00963407"/>
    <w:rsid w:val="00970309"/>
    <w:rsid w:val="00973DB1"/>
    <w:rsid w:val="0097658E"/>
    <w:rsid w:val="00976C47"/>
    <w:rsid w:val="009A55D2"/>
    <w:rsid w:val="009D012F"/>
    <w:rsid w:val="009D3284"/>
    <w:rsid w:val="009F5582"/>
    <w:rsid w:val="00A63626"/>
    <w:rsid w:val="00A81296"/>
    <w:rsid w:val="00AC0DF3"/>
    <w:rsid w:val="00AD2B2D"/>
    <w:rsid w:val="00AF318E"/>
    <w:rsid w:val="00AF3C12"/>
    <w:rsid w:val="00B06C4F"/>
    <w:rsid w:val="00B14400"/>
    <w:rsid w:val="00B148A0"/>
    <w:rsid w:val="00B32237"/>
    <w:rsid w:val="00B74B93"/>
    <w:rsid w:val="00B76A98"/>
    <w:rsid w:val="00BA32E9"/>
    <w:rsid w:val="00BC63BD"/>
    <w:rsid w:val="00BC78B0"/>
    <w:rsid w:val="00BE1D10"/>
    <w:rsid w:val="00C01F9E"/>
    <w:rsid w:val="00C10080"/>
    <w:rsid w:val="00C2045B"/>
    <w:rsid w:val="00C668B9"/>
    <w:rsid w:val="00C66A35"/>
    <w:rsid w:val="00C8240E"/>
    <w:rsid w:val="00C82E35"/>
    <w:rsid w:val="00CA2E92"/>
    <w:rsid w:val="00CF6135"/>
    <w:rsid w:val="00D24955"/>
    <w:rsid w:val="00D50300"/>
    <w:rsid w:val="00D6428C"/>
    <w:rsid w:val="00D64D1B"/>
    <w:rsid w:val="00DA0F6F"/>
    <w:rsid w:val="00DB7C88"/>
    <w:rsid w:val="00E037A3"/>
    <w:rsid w:val="00E0686F"/>
    <w:rsid w:val="00E25C35"/>
    <w:rsid w:val="00E55B8B"/>
    <w:rsid w:val="00E5607B"/>
    <w:rsid w:val="00E74E00"/>
    <w:rsid w:val="00EB046E"/>
    <w:rsid w:val="00ED3CD2"/>
    <w:rsid w:val="00F020A2"/>
    <w:rsid w:val="00F2751F"/>
    <w:rsid w:val="00F3643A"/>
    <w:rsid w:val="00F82FC3"/>
    <w:rsid w:val="00FB59EC"/>
    <w:rsid w:val="00FD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DF97B"/>
  <w15:chartTrackingRefBased/>
  <w15:docId w15:val="{84E84DD5-4C00-4C38-AF3E-3D58E6D8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E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0E1C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1C0A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nhideWhenUsed/>
    <w:rsid w:val="000E1C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1C0A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Textkrper">
    <w:name w:val="Body Text"/>
    <w:basedOn w:val="Standard"/>
    <w:link w:val="TextkrperZchn"/>
    <w:rsid w:val="000E1C0A"/>
    <w:pPr>
      <w:spacing w:after="260" w:line="260" w:lineRule="exact"/>
      <w:jc w:val="both"/>
    </w:pPr>
    <w:rPr>
      <w:rFonts w:ascii="Arial" w:hAnsi="Arial"/>
      <w:color w:val="000000"/>
      <w:sz w:val="24"/>
    </w:rPr>
  </w:style>
  <w:style w:type="character" w:customStyle="1" w:styleId="TextkrperZchn">
    <w:name w:val="Textkörper Zchn"/>
    <w:basedOn w:val="Absatz-Standardschriftart"/>
    <w:link w:val="Textkrper"/>
    <w:rsid w:val="000E1C0A"/>
    <w:rPr>
      <w:rFonts w:ascii="Arial" w:eastAsia="Times New Roman" w:hAnsi="Arial" w:cs="Times New Roman"/>
      <w:color w:val="000000"/>
      <w:sz w:val="24"/>
      <w:szCs w:val="20"/>
      <w:lang w:eastAsia="de-DE"/>
    </w:rPr>
  </w:style>
  <w:style w:type="table" w:customStyle="1" w:styleId="TableNormal">
    <w:name w:val="Table Normal"/>
    <w:uiPriority w:val="2"/>
    <w:semiHidden/>
    <w:unhideWhenUsed/>
    <w:qFormat/>
    <w:rsid w:val="000E1C0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0E1C0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ellenraster">
    <w:name w:val="Table Grid"/>
    <w:basedOn w:val="NormaleTabelle"/>
    <w:uiPriority w:val="39"/>
    <w:rsid w:val="000E1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607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607B"/>
    <w:rPr>
      <w:rFonts w:ascii="Segoe UI" w:eastAsia="Times New Roman" w:hAnsi="Segoe UI" w:cs="Segoe UI"/>
      <w:sz w:val="18"/>
      <w:szCs w:val="18"/>
      <w:lang w:eastAsia="de-DE"/>
    </w:rPr>
  </w:style>
  <w:style w:type="table" w:styleId="Gitternetztabelle4">
    <w:name w:val="Grid Table 4"/>
    <w:basedOn w:val="NormaleTabelle"/>
    <w:uiPriority w:val="49"/>
    <w:rsid w:val="0048133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einLeerraum">
    <w:name w:val="No Spacing"/>
    <w:uiPriority w:val="1"/>
    <w:qFormat/>
    <w:rsid w:val="00711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116B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116B7"/>
    <w:rPr>
      <w:rFonts w:eastAsiaTheme="minorEastAsia"/>
      <w:color w:val="5A5A5A" w:themeColor="text1" w:themeTint="A5"/>
      <w:spacing w:val="15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751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2751F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2751F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75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751F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E xmlns="60f4b7be-3e9e-4903-8269-f8c1a1b992c5">0</OE>
    <Nummer_x0020_DA xmlns="59530f60-faa2-4e1e-9d95-33a6a0b4ded8">DO_01XX</Nummer_x0020_DA>
    <Ver_x00f6_ffentlichung xmlns="59530f60-faa2-4e1e-9d95-33a6a0b4ded8">true</Ver_x00f6_ffentlichung>
    <Anlage xmlns="60f4b7be-3e9e-4903-8269-f8c1a1b992c5" xsi:nil="true"/>
    <Priorit_x00e4_t xmlns="59530f60-faa2-4e1e-9d95-33a6a0b4ded8" xsi:nil="true"/>
    <zugeh_x00f6_rige_x0020_Anweisung xmlns="59530f60-faa2-4e1e-9d95-33a6a0b4ded8">
      <Value>19</Value>
    </zugeh_x00f6_rige_x0020_Anweisung>
    <Ver_x00f6_ffentlichungsdatum xmlns="60f4b7be-3e9e-4903-8269-f8c1a1b992c5">2019.12</Ver_x00f6_ffentlichungsdatum>
    <Zust_x00e4_ndigkeit xmlns="59530f60-faa2-4e1e-9d95-33a6a0b4ded8">
      <UserInfo>
        <DisplayName>i:0#.w|wver\rebecca.hovelinck</DisplayName>
        <AccountId>396</AccountId>
        <AccountType/>
      </UserInfo>
    </Zust_x00e4_ndigkeit>
    <Prozess xmlns="59530f60-faa2-4e1e-9d95-33a6a0b4ded8">Allg. Verwaltung</Prozes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7E24DF894C0940AD97B9FC9117564C" ma:contentTypeVersion="26" ma:contentTypeDescription="Ein neues Dokument erstellen." ma:contentTypeScope="" ma:versionID="9f151233e77bbdbd342889b02bd5570d">
  <xsd:schema xmlns:xsd="http://www.w3.org/2001/XMLSchema" xmlns:xs="http://www.w3.org/2001/XMLSchema" xmlns:p="http://schemas.microsoft.com/office/2006/metadata/properties" xmlns:ns2="60f4b7be-3e9e-4903-8269-f8c1a1b992c5" xmlns:ns3="59530f60-faa2-4e1e-9d95-33a6a0b4ded8" targetNamespace="http://schemas.microsoft.com/office/2006/metadata/properties" ma:root="true" ma:fieldsID="76b28d99cd5a7e68dbca65d22eeca2fc" ns2:_="" ns3:_="">
    <xsd:import namespace="60f4b7be-3e9e-4903-8269-f8c1a1b992c5"/>
    <xsd:import namespace="59530f60-faa2-4e1e-9d95-33a6a0b4ded8"/>
    <xsd:element name="properties">
      <xsd:complexType>
        <xsd:sequence>
          <xsd:element name="documentManagement">
            <xsd:complexType>
              <xsd:all>
                <xsd:element ref="ns2:OE" minOccurs="0"/>
                <xsd:element ref="ns2:Anlage" minOccurs="0"/>
                <xsd:element ref="ns2:Ver_x00f6_ffentlichungsdatum" minOccurs="0"/>
                <xsd:element ref="ns3:zugeh_x00f6_rige_x0020_Anweisung" minOccurs="0"/>
                <xsd:element ref="ns3:Nummer_x0020_DA" minOccurs="0"/>
                <xsd:element ref="ns3:Prozess" minOccurs="0"/>
                <xsd:element ref="ns3:Zust_x00e4_ndigkeit" minOccurs="0"/>
                <xsd:element ref="ns3:Priorit_x00e4_t" minOccurs="0"/>
                <xsd:element ref="ns3:Ver_x00f6_ffentlich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4b7be-3e9e-4903-8269-f8c1a1b992c5" elementFormDefault="qualified">
    <xsd:import namespace="http://schemas.microsoft.com/office/2006/documentManagement/types"/>
    <xsd:import namespace="http://schemas.microsoft.com/office/infopath/2007/PartnerControls"/>
    <xsd:element name="OE" ma:index="8" nillable="true" ma:displayName="OE" ma:description="für Aktualisierung verantwortliche Organisationseinheit" ma:internalName="OE">
      <xsd:simpleType>
        <xsd:restriction base="dms:Text">
          <xsd:maxLength value="255"/>
        </xsd:restriction>
      </xsd:simpleType>
    </xsd:element>
    <xsd:element name="Anlage" ma:index="9" nillable="true" ma:displayName="Anlagennummer" ma:description="Nummerierung der Anlage" ma:format="Dropdown" ma:internalName="Anlage">
      <xsd:simpleType>
        <xsd:restriction base="dms:Choice">
          <xsd:enumeration value="---"/>
          <xsd:enumeration value="Anlage 1"/>
          <xsd:enumeration value="Anlage 2"/>
          <xsd:enumeration value="Anlage 2a"/>
          <xsd:enumeration value="Anlage 2b"/>
          <xsd:enumeration value="Anlage 2c"/>
          <xsd:enumeration value="Anlage 2d"/>
          <xsd:enumeration value="Anlage 2c+d"/>
          <xsd:enumeration value="Anlage 2e"/>
          <xsd:enumeration value="Anlage 2f"/>
          <xsd:enumeration value="Anlage 2g"/>
          <xsd:enumeration value="Anlage 2h"/>
          <xsd:enumeration value="Anlage 2i"/>
          <xsd:enumeration value="Anlage 2j"/>
          <xsd:enumeration value="Anlage 2k"/>
          <xsd:enumeration value="Anlage 2l"/>
          <xsd:enumeration value="Anlage 2m"/>
          <xsd:enumeration value="Anlage 2n"/>
          <xsd:enumeration value="Anlage 2o"/>
          <xsd:enumeration value="Anlage 2p"/>
          <xsd:enumeration value="Anlage 2q"/>
          <xsd:enumeration value="Anlage 2r"/>
          <xsd:enumeration value="Anlage 2s"/>
          <xsd:enumeration value="Anlage 2t"/>
          <xsd:enumeration value="Anlage 2u"/>
          <xsd:enumeration value="Anlage 2v"/>
          <xsd:enumeration value="Anlage 2w"/>
          <xsd:enumeration value="Anlage 2x"/>
          <xsd:enumeration value="Anlage 2y"/>
          <xsd:enumeration value="Anlage 2z"/>
          <xsd:enumeration value="Anlage 2za"/>
          <xsd:enumeration value="Anlage 3a"/>
          <xsd:enumeration value="Anlage 3"/>
          <xsd:enumeration value="Anlage 3b"/>
          <xsd:enumeration value="Anlage 3c"/>
          <xsd:enumeration value="Anlage 3d"/>
          <xsd:enumeration value="Anlage 3e"/>
          <xsd:enumeration value="Anlage 3f"/>
          <xsd:enumeration value="Anlage 3g"/>
          <xsd:enumeration value="Anlage 3h"/>
          <xsd:enumeration value="Anlage 3.5b"/>
          <xsd:enumeration value="Anlage 3.5c"/>
          <xsd:enumeration value="Anlage 3.5d"/>
          <xsd:enumeration value="Anlage 4"/>
          <xsd:enumeration value="Anlage 4a"/>
          <xsd:enumeration value="Anlage 4b"/>
          <xsd:enumeration value="Anlage 4c"/>
          <xsd:enumeration value="Anlage 4d"/>
          <xsd:enumeration value="Anlage 4e"/>
          <xsd:enumeration value="Anlage 4f"/>
          <xsd:enumeration value="Anlage 4g"/>
          <xsd:enumeration value="Anlage 4h"/>
          <xsd:enumeration value="Anlage 5"/>
          <xsd:enumeration value="Anlage 6"/>
          <xsd:enumeration value="Anlage 7"/>
          <xsd:enumeration value="Anlage 8a"/>
          <xsd:enumeration value="Anlage 8b"/>
          <xsd:enumeration value="Anlage 8c"/>
        </xsd:restriction>
      </xsd:simpleType>
    </xsd:element>
    <xsd:element name="Ver_x00f6_ffentlichungsdatum" ma:index="10" nillable="true" ma:displayName="Stand" ma:internalName="Ver_x00f6_ffentlichungsdatu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30f60-faa2-4e1e-9d95-33a6a0b4ded8" elementFormDefault="qualified">
    <xsd:import namespace="http://schemas.microsoft.com/office/2006/documentManagement/types"/>
    <xsd:import namespace="http://schemas.microsoft.com/office/infopath/2007/PartnerControls"/>
    <xsd:element name="zugeh_x00f6_rige_x0020_Anweisung" ma:index="11" nillable="true" ma:displayName="zugehörige Anweisung" ma:list="{4f228e82-18e5-4933-9840-68b6b3921905}" ma:internalName="zugeh_x00f6_rige_x0020_Anweisung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ummer_x0020_DA" ma:index="12" nillable="true" ma:displayName="Nummer DA" ma:internalName="Nummer_x0020_DA">
      <xsd:simpleType>
        <xsd:restriction base="dms:Text">
          <xsd:maxLength value="255"/>
        </xsd:restriction>
      </xsd:simpleType>
    </xsd:element>
    <xsd:element name="Prozess" ma:index="13" nillable="true" ma:displayName="-" ma:description="zur Kategorisierung von Formblättern" ma:internalName="Prozess">
      <xsd:simpleType>
        <xsd:restriction base="dms:Text">
          <xsd:maxLength value="255"/>
        </xsd:restriction>
      </xsd:simpleType>
    </xsd:element>
    <xsd:element name="Zust_x00e4_ndigkeit" ma:index="14" nillable="true" ma:displayName="Zuständigkeit" ma:description="für die Aktualisierung und inhaltlich verantwortliche Person" ma:list="UserInfo" ma:SharePointGroup="0" ma:internalName="Zust_x00e4_ndigkei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orit_x00e4_t" ma:index="15" nillable="true" ma:displayName="Priorität" ma:description="Priorisierung innerhalb einer Kategorie" ma:internalName="Priorit_x00e4_t">
      <xsd:simpleType>
        <xsd:restriction base="dms:Text">
          <xsd:maxLength value="255"/>
        </xsd:restriction>
      </xsd:simpleType>
    </xsd:element>
    <xsd:element name="Ver_x00f6_ffentlichung" ma:index="16" nillable="true" ma:displayName="Veröffentlichung" ma:default="0" ma:description="Formulare, die Genehmigt, freigegeben und veröffentlicht  sind" ma:internalName="Ver_x00f6_ffentlichun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4F01BC-3D3D-46AC-99F0-A460182835EF}">
  <ds:schemaRefs>
    <ds:schemaRef ds:uri="http://schemas.microsoft.com/office/2006/metadata/properties"/>
    <ds:schemaRef ds:uri="http://schemas.microsoft.com/office/infopath/2007/PartnerControls"/>
    <ds:schemaRef ds:uri="60f4b7be-3e9e-4903-8269-f8c1a1b992c5"/>
    <ds:schemaRef ds:uri="59530f60-faa2-4e1e-9d95-33a6a0b4ded8"/>
  </ds:schemaRefs>
</ds:datastoreItem>
</file>

<file path=customXml/itemProps2.xml><?xml version="1.0" encoding="utf-8"?>
<ds:datastoreItem xmlns:ds="http://schemas.openxmlformats.org/officeDocument/2006/customXml" ds:itemID="{BD60896A-3D25-4747-AFE5-82B90516D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4b7be-3e9e-4903-8269-f8c1a1b992c5"/>
    <ds:schemaRef ds:uri="59530f60-faa2-4e1e-9d95-33a6a0b4d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B8825E-5832-4502-A56F-A931C549E6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1498</Words>
  <Characters>9440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Besprechungsprotokoll</vt:lpstr>
    </vt:vector>
  </TitlesOfParts>
  <Company/>
  <LinksUpToDate>false</LinksUpToDate>
  <CharactersWithSpaces>10917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Besprechungsprotokoll</dc:title>
  <dc:subject/>
  <dc:creator>Hovelinck, Rebecca</dc:creator>
  <cp:keywords/>
  <dc:description/>
  <cp:lastModifiedBy>Niesen, Frank</cp:lastModifiedBy>
  <cp:revision>3</cp:revision>
  <cp:lastPrinted>2018-04-13T08:49:00Z</cp:lastPrinted>
  <dcterms:created xsi:type="dcterms:W3CDTF">2020-05-25T05:07:00Z</dcterms:created>
  <dcterms:modified xsi:type="dcterms:W3CDTF">2020-05-25T05:21:00Z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0x010100407E24DF894C0940AD97B9FC9117564C</vt:lpwstr>
  </property>
</Properties>
</file>