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B6" w:rsidRDefault="00DD2E90" w:rsidP="00F4489A">
      <w:pPr>
        <w:spacing w:after="60"/>
        <w:ind w:right="-1136"/>
        <w:rPr>
          <w:rFonts w:cs="Arial"/>
          <w:b/>
          <w:caps/>
          <w:sz w:val="28"/>
          <w:szCs w:val="28"/>
        </w:rPr>
      </w:pPr>
      <w:bookmarkStart w:id="0" w:name="_GoBack"/>
      <w:bookmarkEnd w:id="0"/>
    </w:p>
    <w:p w:rsidR="00AE34B6" w:rsidRDefault="00DD2E90" w:rsidP="00F4489A">
      <w:pPr>
        <w:spacing w:after="60"/>
        <w:ind w:right="-1136"/>
        <w:rPr>
          <w:rFonts w:cs="Arial"/>
          <w:b/>
          <w:caps/>
          <w:sz w:val="28"/>
          <w:szCs w:val="28"/>
        </w:rPr>
      </w:pPr>
    </w:p>
    <w:p w:rsidR="000007DF" w:rsidRDefault="00DD2E90" w:rsidP="00F4489A">
      <w:pPr>
        <w:spacing w:after="60"/>
        <w:ind w:right="-1136"/>
        <w:rPr>
          <w:rFonts w:cs="Arial"/>
          <w:b/>
          <w:caps/>
          <w:sz w:val="28"/>
          <w:szCs w:val="28"/>
        </w:rPr>
      </w:pPr>
    </w:p>
    <w:p w:rsidR="000007DF" w:rsidRDefault="00DD2E90" w:rsidP="00F4489A">
      <w:pPr>
        <w:spacing w:after="60"/>
        <w:ind w:right="-1136"/>
        <w:rPr>
          <w:rFonts w:cs="Arial"/>
          <w:b/>
          <w:caps/>
          <w:sz w:val="28"/>
          <w:szCs w:val="28"/>
        </w:rPr>
      </w:pPr>
    </w:p>
    <w:p w:rsidR="000007DF" w:rsidRDefault="00DD2E90" w:rsidP="00F4489A">
      <w:pPr>
        <w:spacing w:after="60"/>
        <w:ind w:right="-1136"/>
        <w:rPr>
          <w:rFonts w:cs="Arial"/>
          <w:b/>
          <w:caps/>
          <w:sz w:val="28"/>
          <w:szCs w:val="28"/>
        </w:rPr>
      </w:pPr>
    </w:p>
    <w:p w:rsidR="000007DF" w:rsidRDefault="00DD2E90" w:rsidP="00F4489A">
      <w:pPr>
        <w:spacing w:after="60"/>
        <w:ind w:right="-1136"/>
        <w:rPr>
          <w:rFonts w:cs="Arial"/>
          <w:b/>
          <w:caps/>
          <w:sz w:val="28"/>
          <w:szCs w:val="28"/>
        </w:rPr>
      </w:pPr>
    </w:p>
    <w:p w:rsidR="000007DF" w:rsidRPr="00F4489A" w:rsidRDefault="00DD2E90" w:rsidP="00F4489A">
      <w:pPr>
        <w:spacing w:after="60"/>
        <w:ind w:right="-1136"/>
        <w:rPr>
          <w:rFonts w:cs="Arial"/>
          <w:b/>
          <w:caps/>
          <w:sz w:val="28"/>
          <w:szCs w:val="28"/>
        </w:rPr>
      </w:pPr>
    </w:p>
    <w:p w:rsidR="00AE34B6" w:rsidRPr="004B3E1F" w:rsidRDefault="00DD2E90" w:rsidP="00AE34B6">
      <w:pPr>
        <w:pStyle w:val="Titel"/>
        <w:jc w:val="left"/>
        <w:rPr>
          <w:b/>
          <w:caps/>
        </w:rPr>
      </w:pPr>
      <w:r w:rsidRPr="004B3E1F">
        <w:rPr>
          <w:b/>
        </w:rPr>
        <w:t>Erarbeitung von Auslegungsempfehlungen für den</w:t>
      </w:r>
      <w:r w:rsidRPr="004B3E1F">
        <w:rPr>
          <w:b/>
        </w:rPr>
        <w:br/>
        <w:t>Bau von Anlagen zur Mikroschadstoffelimination</w:t>
      </w:r>
    </w:p>
    <w:p w:rsidR="000007DF" w:rsidRDefault="00DD2E90" w:rsidP="00AE34B6">
      <w:pPr>
        <w:pStyle w:val="berschrift1"/>
        <w:sectPr w:rsidR="000007DF" w:rsidSect="00FD6732">
          <w:headerReference w:type="default" r:id="rId9"/>
          <w:footerReference w:type="default" r:id="rId10"/>
          <w:pgSz w:w="11906" w:h="16838" w:code="9"/>
          <w:pgMar w:top="1134" w:right="1985" w:bottom="1701" w:left="1418" w:header="1134" w:footer="709" w:gutter="0"/>
          <w:cols w:space="708"/>
          <w:docGrid w:linePitch="360"/>
        </w:sectPr>
      </w:pPr>
    </w:p>
    <w:p w:rsidR="000007DF" w:rsidRDefault="00DD2E90" w:rsidP="000007DF"/>
    <w:p w:rsidR="004B3E1F" w:rsidRPr="004B3E1F" w:rsidRDefault="00DD2E90" w:rsidP="000007DF">
      <w:pPr>
        <w:rPr>
          <w:b/>
        </w:rPr>
      </w:pPr>
      <w:r w:rsidRPr="004B3E1F">
        <w:rPr>
          <w:b/>
        </w:rPr>
        <w:t>INHALTSVERZEICHNIS</w:t>
      </w:r>
    </w:p>
    <w:p w:rsidR="004B3E1F" w:rsidRDefault="00DD2E90" w:rsidP="000007DF"/>
    <w:p w:rsidR="00D90438" w:rsidRDefault="00DD2E90">
      <w:pPr>
        <w:pStyle w:val="Verzeichnis1"/>
        <w:tabs>
          <w:tab w:val="left" w:pos="44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r>
        <w:rPr>
          <w:color w:val="FF0000"/>
          <w:highlight w:val="yellow"/>
        </w:rPr>
        <w:fldChar w:fldCharType="begin"/>
      </w:r>
      <w:r>
        <w:rPr>
          <w:color w:val="FF0000"/>
          <w:highlight w:val="yellow"/>
        </w:rPr>
        <w:instrText xml:space="preserve"> TOC \o "1-3" \h \z \u </w:instrText>
      </w:r>
      <w:r>
        <w:rPr>
          <w:color w:val="FF0000"/>
          <w:highlight w:val="yellow"/>
        </w:rPr>
        <w:fldChar w:fldCharType="separate"/>
      </w:r>
      <w:hyperlink w:anchor="_Toc398024624" w:history="1">
        <w:r w:rsidRPr="00913984">
          <w:rPr>
            <w:rStyle w:val="Hyperlink"/>
            <w:rFonts w:cs="Arial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rFonts w:cs="Arial"/>
            <w:noProof/>
          </w:rPr>
          <w:t>Veranlassung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2"/>
        <w:tabs>
          <w:tab w:val="left" w:pos="88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25" w:history="1">
        <w:r w:rsidRPr="00913984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noProof/>
          </w:rPr>
          <w:t>Arbeitsgruppe Aktivkohle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2"/>
        <w:tabs>
          <w:tab w:val="left" w:pos="88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26" w:history="1">
        <w:r w:rsidRPr="00913984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noProof/>
          </w:rPr>
          <w:t>Arbeitsgruppe OZON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1"/>
        <w:tabs>
          <w:tab w:val="left" w:pos="44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27" w:history="1">
        <w:r w:rsidRPr="00913984">
          <w:rPr>
            <w:rStyle w:val="Hyperlink"/>
            <w:rFonts w:cs="Arial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rFonts w:cs="Arial"/>
            <w:noProof/>
          </w:rPr>
          <w:t>Ausl</w:t>
        </w:r>
        <w:r w:rsidRPr="00913984">
          <w:rPr>
            <w:rStyle w:val="Hyperlink"/>
            <w:rFonts w:cs="Arial"/>
            <w:noProof/>
          </w:rPr>
          <w:t>egungsempfehlungen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2"/>
        <w:tabs>
          <w:tab w:val="left" w:pos="88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28" w:history="1">
        <w:r w:rsidRPr="00913984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noProof/>
          </w:rPr>
          <w:t>Grundlagen zur Auslegung und Verfahrensauswahl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2"/>
        <w:tabs>
          <w:tab w:val="left" w:pos="88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29" w:history="1">
        <w:r w:rsidRPr="00913984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noProof/>
          </w:rPr>
          <w:t>Auslegung von Ozonanlagen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2"/>
        <w:tabs>
          <w:tab w:val="left" w:pos="88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30" w:history="1">
        <w:r w:rsidRPr="00913984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noProof/>
          </w:rPr>
          <w:t>Auslegung von Pulveraktivkohleanlagen (PAK)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2"/>
        <w:tabs>
          <w:tab w:val="left" w:pos="88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31" w:history="1">
        <w:r w:rsidRPr="00913984">
          <w:rPr>
            <w:rStyle w:val="Hyperlink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noProof/>
          </w:rPr>
          <w:t>Auslegung von Anlagen mit granulierter Aktivkohle (GAK)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</w:instrText>
        </w:r>
        <w:r>
          <w:rPr>
            <w:noProof/>
            <w:webHidden/>
          </w:rPr>
          <w:instrText xml:space="preserve">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2"/>
        <w:tabs>
          <w:tab w:val="left" w:pos="88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32" w:history="1">
        <w:r w:rsidRPr="00913984">
          <w:rPr>
            <w:rStyle w:val="Hyperlink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noProof/>
          </w:rPr>
          <w:t>Hinweise zur Elimination von Mikroschadstoffen und Energiebedarf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1"/>
        <w:tabs>
          <w:tab w:val="left" w:pos="44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33" w:history="1">
        <w:r w:rsidRPr="00913984">
          <w:rPr>
            <w:rStyle w:val="Hyperlink"/>
            <w:rFonts w:cs="Arial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rFonts w:cs="Arial"/>
            <w:noProof/>
          </w:rPr>
          <w:t>Fazit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2"/>
        <w:tabs>
          <w:tab w:val="left" w:pos="88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34" w:history="1">
        <w:r w:rsidRPr="00913984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noProof/>
          </w:rPr>
          <w:t>Vorbehandlung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2"/>
        <w:tabs>
          <w:tab w:val="left" w:pos="88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35" w:history="1">
        <w:r w:rsidRPr="00913984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noProof/>
          </w:rPr>
          <w:t>Ozonanla</w:t>
        </w:r>
        <w:r w:rsidRPr="00913984">
          <w:rPr>
            <w:rStyle w:val="Hyperlink"/>
            <w:noProof/>
          </w:rPr>
          <w:t>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2"/>
        <w:tabs>
          <w:tab w:val="left" w:pos="88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36" w:history="1">
        <w:r w:rsidRPr="00913984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noProof/>
          </w:rPr>
          <w:t>PAK-Anlagen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90438" w:rsidRDefault="00DD2E90">
      <w:pPr>
        <w:pStyle w:val="Verzeichnis2"/>
        <w:tabs>
          <w:tab w:val="left" w:pos="880"/>
          <w:tab w:val="right" w:leader="dot" w:pos="8493"/>
        </w:tabs>
        <w:rPr>
          <w:rFonts w:asciiTheme="minorHAnsi" w:eastAsiaTheme="minorEastAsia" w:hAnsiTheme="minorHAnsi" w:cstheme="minorBidi"/>
          <w:noProof/>
        </w:rPr>
      </w:pPr>
      <w:hyperlink w:anchor="_Toc398024637" w:history="1">
        <w:r w:rsidRPr="00913984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13984">
          <w:rPr>
            <w:rStyle w:val="Hyperlink"/>
            <w:noProof/>
          </w:rPr>
          <w:t>GAK-Filter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_Toc398024637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0007DF" w:rsidRDefault="00DD2E90" w:rsidP="000007DF">
      <w:r>
        <w:rPr>
          <w:color w:val="FF0000"/>
          <w:highlight w:val="yellow"/>
        </w:rPr>
        <w:fldChar w:fldCharType="end"/>
      </w:r>
    </w:p>
    <w:p w:rsidR="00271AC1" w:rsidRDefault="00DD2E90" w:rsidP="000007DF"/>
    <w:p w:rsidR="000007DF" w:rsidRDefault="00DD2E90" w:rsidP="000007DF">
      <w:r>
        <w:t>Anlage 1</w:t>
      </w:r>
      <w:r>
        <w:tab/>
      </w:r>
      <w:r w:rsidRPr="00271AC1">
        <w:t xml:space="preserve">Teilnehmerliste </w:t>
      </w:r>
      <w:r>
        <w:t>Workshop</w:t>
      </w:r>
      <w:r w:rsidRPr="00271AC1">
        <w:t xml:space="preserve"> Aktivkohle</w:t>
      </w:r>
    </w:p>
    <w:p w:rsidR="00271AC1" w:rsidRDefault="00DD2E90" w:rsidP="000007DF">
      <w:r>
        <w:t>Anlage 2</w:t>
      </w:r>
      <w:r>
        <w:tab/>
      </w:r>
      <w:r w:rsidRPr="00271AC1">
        <w:t>Kurzvorträge Workshop Aktivkohle</w:t>
      </w:r>
    </w:p>
    <w:p w:rsidR="00271AC1" w:rsidRDefault="00DD2E90" w:rsidP="000007DF">
      <w:r>
        <w:t>Anlage 3</w:t>
      </w:r>
      <w:r>
        <w:tab/>
      </w:r>
      <w:r w:rsidRPr="00271AC1">
        <w:t>Zusammenfass</w:t>
      </w:r>
      <w:r w:rsidRPr="00271AC1">
        <w:t>ung der Formblätter zu Aktivkohle und Ozon</w:t>
      </w:r>
    </w:p>
    <w:p w:rsidR="000007DF" w:rsidRDefault="00DD2E90" w:rsidP="000007DF"/>
    <w:p w:rsidR="000007DF" w:rsidRDefault="00DD2E90" w:rsidP="000007DF"/>
    <w:p w:rsidR="000007DF" w:rsidRDefault="00DD2E90" w:rsidP="000007DF"/>
    <w:p w:rsidR="000007DF" w:rsidRPr="000007DF" w:rsidRDefault="00DD2E90" w:rsidP="000007DF">
      <w:pPr>
        <w:sectPr w:rsidR="000007DF" w:rsidRPr="000007DF" w:rsidSect="00FD6732">
          <w:pgSz w:w="11906" w:h="16838" w:code="9"/>
          <w:pgMar w:top="1134" w:right="1985" w:bottom="1701" w:left="1418" w:header="1134" w:footer="709" w:gutter="0"/>
          <w:cols w:space="708"/>
          <w:docGrid w:linePitch="360"/>
        </w:sectPr>
      </w:pPr>
    </w:p>
    <w:p w:rsidR="00DA2CFC" w:rsidRPr="004B3E1F" w:rsidRDefault="00DD2E90" w:rsidP="00687424">
      <w:pPr>
        <w:pStyle w:val="berschrift1"/>
        <w:rPr>
          <w:rFonts w:ascii="Arial" w:hAnsi="Arial" w:cs="Arial"/>
        </w:rPr>
      </w:pPr>
      <w:bookmarkStart w:id="1" w:name="_Toc398024624"/>
      <w:r w:rsidRPr="004B3E1F">
        <w:rPr>
          <w:rFonts w:ascii="Arial" w:hAnsi="Arial" w:cs="Arial"/>
        </w:rPr>
        <w:lastRenderedPageBreak/>
        <w:t>Veranlassung</w:t>
      </w:r>
      <w:bookmarkEnd w:id="1"/>
    </w:p>
    <w:p w:rsidR="00DA2CFC" w:rsidRDefault="00DD2E90" w:rsidP="00DA2CFC">
      <w:pPr>
        <w:pStyle w:val="StandardWeb"/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A</w:t>
      </w:r>
      <w:r w:rsidRPr="00EF21B3">
        <w:rPr>
          <w:rFonts w:ascii="Arial" w:hAnsi="Arial"/>
          <w:noProof/>
          <w:sz w:val="22"/>
          <w:szCs w:val="22"/>
          <w:lang w:val="de-DE" w:eastAsia="de-DE"/>
        </w:rPr>
        <w:t xml:space="preserve">ufgrund der zunehmenden Verwendung unterschiedlichster Chemikalien in Wirtschaft und Privathaushalten stellen kommunale Abwässer einen Haupteintragspfad von </w:t>
      </w:r>
      <w:r w:rsidRPr="00EF21B3">
        <w:rPr>
          <w:rFonts w:ascii="Arial" w:hAnsi="Arial"/>
          <w:noProof/>
          <w:sz w:val="22"/>
          <w:szCs w:val="22"/>
          <w:lang w:val="de-DE" w:eastAsia="de-DE"/>
        </w:rPr>
        <w:t>Mikroschadstoffen in Oberflächengewässer dar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. </w:t>
      </w:r>
    </w:p>
    <w:p w:rsidR="00DA2CFC" w:rsidRDefault="00DD2E90" w:rsidP="00DA2CFC">
      <w:pPr>
        <w:pStyle w:val="StandardWeb"/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 xml:space="preserve">In NRW </w:t>
      </w:r>
      <w:r w:rsidRPr="00EF21B3">
        <w:rPr>
          <w:rFonts w:ascii="Arial" w:hAnsi="Arial"/>
          <w:noProof/>
          <w:sz w:val="22"/>
          <w:szCs w:val="22"/>
          <w:lang w:val="de-DE" w:eastAsia="de-DE"/>
        </w:rPr>
        <w:t xml:space="preserve">sind bereits großtechnische </w:t>
      </w:r>
      <w:r>
        <w:rPr>
          <w:rFonts w:ascii="Arial" w:hAnsi="Arial"/>
          <w:noProof/>
          <w:sz w:val="22"/>
          <w:szCs w:val="22"/>
          <w:lang w:val="de-DE" w:eastAsia="de-DE"/>
        </w:rPr>
        <w:t>A</w:t>
      </w:r>
      <w:r w:rsidRPr="00EF21B3">
        <w:rPr>
          <w:rFonts w:ascii="Arial" w:hAnsi="Arial"/>
          <w:noProof/>
          <w:sz w:val="22"/>
          <w:szCs w:val="22"/>
          <w:lang w:val="de-DE" w:eastAsia="de-DE"/>
        </w:rPr>
        <w:t xml:space="preserve">nlagen zur Mikroschadstoffentfernung 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aus dem kommunalen Abwasser </w:t>
      </w:r>
      <w:r w:rsidRPr="00EF21B3">
        <w:rPr>
          <w:rFonts w:ascii="Arial" w:hAnsi="Arial"/>
          <w:noProof/>
          <w:sz w:val="22"/>
          <w:szCs w:val="22"/>
          <w:lang w:val="de-DE" w:eastAsia="de-DE"/>
        </w:rPr>
        <w:t xml:space="preserve">im Bau bzw. in Betrieb. </w:t>
      </w:r>
      <w:r>
        <w:rPr>
          <w:rFonts w:ascii="Arial" w:hAnsi="Arial"/>
          <w:noProof/>
          <w:sz w:val="22"/>
          <w:szCs w:val="22"/>
          <w:lang w:val="de-DE" w:eastAsia="de-DE"/>
        </w:rPr>
        <w:t>Das Umweltministerium NRW veranlasste, dass auf Basis dieser Ergebnisse und Erfahrun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gen allgemeine Auslegungsempfehlungen für den Bau derartiger Anlagen erarbeitet werden, </w:t>
      </w:r>
      <w:r w:rsidRPr="000047BB">
        <w:rPr>
          <w:rFonts w:ascii="Arial" w:hAnsi="Arial"/>
          <w:noProof/>
          <w:sz w:val="22"/>
          <w:szCs w:val="22"/>
          <w:lang w:val="de-DE" w:eastAsia="de-DE"/>
        </w:rPr>
        <w:t>die zukünftig bei zu bewilligenden und geförderten Baumaßnahmen zur Mikroschadstoffelimina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tion herangezogen werden können. </w:t>
      </w:r>
    </w:p>
    <w:p w:rsidR="000A3ACE" w:rsidRDefault="00DD2E90" w:rsidP="00DA2CFC">
      <w:pPr>
        <w:pStyle w:val="StandardWeb"/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Das Umweltministerium NRW lud daher an der P</w:t>
      </w:r>
      <w:r>
        <w:rPr>
          <w:rFonts w:ascii="Arial" w:hAnsi="Arial"/>
          <w:noProof/>
          <w:sz w:val="22"/>
          <w:szCs w:val="22"/>
          <w:lang w:val="de-DE" w:eastAsia="de-DE"/>
        </w:rPr>
        <w:t>lanung und am Bau beteiligte Ingenieurbüros und Institute zu einem Erfahrungsaustausch ein, der vom Kompetenzzentrum Mikroschadstoffe.NRW organisiert und durchgeführt wurde.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 </w:t>
      </w:r>
    </w:p>
    <w:p w:rsidR="008370AA" w:rsidRDefault="00DD2E90" w:rsidP="00DA2CFC">
      <w:pPr>
        <w:pStyle w:val="StandardWeb"/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 xml:space="preserve">Nachfolgend sind die zur Mitarbeit in der Arbeitsgruppe Aktivkohle und Ozon </w:t>
      </w:r>
      <w:r>
        <w:rPr>
          <w:rFonts w:ascii="Arial" w:hAnsi="Arial"/>
          <w:noProof/>
          <w:sz w:val="22"/>
          <w:szCs w:val="22"/>
          <w:lang w:val="de-DE" w:eastAsia="de-DE"/>
        </w:rPr>
        <w:t>eingeladene</w:t>
      </w:r>
      <w:r>
        <w:rPr>
          <w:rFonts w:ascii="Arial" w:hAnsi="Arial"/>
          <w:noProof/>
          <w:sz w:val="22"/>
          <w:szCs w:val="22"/>
          <w:lang w:val="de-DE" w:eastAsia="de-DE"/>
        </w:rPr>
        <w:t>n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 Ingenieurbüros und Instiute </w:t>
      </w:r>
      <w:r>
        <w:rPr>
          <w:rFonts w:ascii="Arial" w:hAnsi="Arial"/>
          <w:noProof/>
          <w:sz w:val="22"/>
          <w:szCs w:val="22"/>
          <w:lang w:val="de-DE" w:eastAsia="de-DE"/>
        </w:rPr>
        <w:t>aufgelistet.</w:t>
      </w:r>
    </w:p>
    <w:p w:rsidR="008456B9" w:rsidRPr="00687424" w:rsidRDefault="00DD2E90" w:rsidP="00687424">
      <w:pPr>
        <w:pStyle w:val="berschrift2"/>
      </w:pPr>
      <w:bookmarkStart w:id="2" w:name="_Toc398024625"/>
      <w:r w:rsidRPr="00687424">
        <w:t>Arbeitsgruppe Aktivkohle</w:t>
      </w:r>
      <w:bookmarkEnd w:id="2"/>
    </w:p>
    <w:p w:rsidR="008456B9" w:rsidRPr="008456B9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ATEMIS GmbH, Aachen</w:t>
      </w:r>
    </w:p>
    <w:p w:rsidR="008456B9" w:rsidRPr="008456B9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DAHLEM Beratende Ingenieure GmbH &amp; Co. Wasserwirtschaft KG, Essen</w:t>
      </w:r>
    </w:p>
    <w:p w:rsidR="008456B9" w:rsidRPr="008456B9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Grontmij GmbH, Köln</w:t>
      </w:r>
    </w:p>
    <w:p w:rsidR="008456B9" w:rsidRPr="008456B9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 xml:space="preserve">HYDRO-INGENIEURE-Planungsgesellschaft für Siedlungswasserwirtschaft </w:t>
      </w:r>
      <w:r w:rsidRPr="008456B9">
        <w:rPr>
          <w:rFonts w:ascii="Arial" w:hAnsi="Arial"/>
          <w:noProof/>
          <w:sz w:val="22"/>
          <w:szCs w:val="22"/>
          <w:lang w:val="de-DE" w:eastAsia="de-DE"/>
        </w:rPr>
        <w:t>mbH, Düsseldorf</w:t>
      </w:r>
    </w:p>
    <w:p w:rsidR="008456B9" w:rsidRPr="008456B9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Ingenieurgesellschaft Dr. Knollmann mbH, Hannover</w:t>
      </w:r>
    </w:p>
    <w:p w:rsidR="008456B9" w:rsidRPr="008456B9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Institut für Siedlungswasserwirtschaft (ISA) der RWTH Aachen, Aachen</w:t>
      </w:r>
    </w:p>
    <w:p w:rsidR="008456B9" w:rsidRPr="008456B9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PFI Planungsgemeinschaft GbR, Hannover</w:t>
      </w:r>
    </w:p>
    <w:p w:rsidR="008456B9" w:rsidRPr="008456B9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Tuttahs &amp; Meyer Ingenieurgesellschaft, Bochum</w:t>
      </w:r>
    </w:p>
    <w:p w:rsidR="008456B9" w:rsidRPr="00176F14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Dipl.-Ing. Martin Danjes GmbH</w:t>
      </w:r>
    </w:p>
    <w:p w:rsidR="008456B9" w:rsidRPr="00687424" w:rsidRDefault="00DD2E90" w:rsidP="00687424">
      <w:pPr>
        <w:pStyle w:val="berschrift2"/>
      </w:pPr>
      <w:bookmarkStart w:id="3" w:name="_Toc398024626"/>
      <w:r w:rsidRPr="00687424">
        <w:t>Arbeit</w:t>
      </w:r>
      <w:r w:rsidRPr="00687424">
        <w:t>sgruppe OZON</w:t>
      </w:r>
      <w:bookmarkEnd w:id="3"/>
    </w:p>
    <w:p w:rsidR="008456B9" w:rsidRPr="008456B9" w:rsidRDefault="00DD2E90" w:rsidP="006F1F56">
      <w:pPr>
        <w:pStyle w:val="StandardWeb"/>
        <w:numPr>
          <w:ilvl w:val="0"/>
          <w:numId w:val="35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ATEMIS GmbH, Aachen</w:t>
      </w:r>
    </w:p>
    <w:p w:rsidR="008456B9" w:rsidRPr="008456B9" w:rsidRDefault="00DD2E90" w:rsidP="006F1F56">
      <w:pPr>
        <w:pStyle w:val="StandardWeb"/>
        <w:numPr>
          <w:ilvl w:val="0"/>
          <w:numId w:val="35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DAHLEM Beratende Ingenieure GmbH &amp; Co. Wasserwirtschaft KG, Essen</w:t>
      </w:r>
    </w:p>
    <w:p w:rsidR="008456B9" w:rsidRPr="008456B9" w:rsidRDefault="00DD2E90" w:rsidP="006F1F56">
      <w:pPr>
        <w:pStyle w:val="StandardWeb"/>
        <w:numPr>
          <w:ilvl w:val="0"/>
          <w:numId w:val="35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GFM Beratende Ingenieure, München</w:t>
      </w:r>
    </w:p>
    <w:p w:rsidR="008456B9" w:rsidRPr="008456B9" w:rsidRDefault="00DD2E90" w:rsidP="006F1F56">
      <w:pPr>
        <w:pStyle w:val="StandardWeb"/>
        <w:numPr>
          <w:ilvl w:val="0"/>
          <w:numId w:val="35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Grontmij GmbH, Köln</w:t>
      </w:r>
    </w:p>
    <w:p w:rsidR="008456B9" w:rsidRPr="008456B9" w:rsidRDefault="00DD2E90" w:rsidP="006F1F56">
      <w:pPr>
        <w:pStyle w:val="StandardWeb"/>
        <w:numPr>
          <w:ilvl w:val="0"/>
          <w:numId w:val="35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HYDRO-INGENIEURE-Planungsgesellschaft für Siedlungswasserwirtschaft mbH, Düsseldorf</w:t>
      </w:r>
    </w:p>
    <w:p w:rsidR="008456B9" w:rsidRPr="008456B9" w:rsidRDefault="00DD2E90" w:rsidP="006F1F56">
      <w:pPr>
        <w:pStyle w:val="StandardWeb"/>
        <w:numPr>
          <w:ilvl w:val="0"/>
          <w:numId w:val="35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Ingenieurgesellscha</w:t>
      </w:r>
      <w:r w:rsidRPr="008456B9">
        <w:rPr>
          <w:rFonts w:ascii="Arial" w:hAnsi="Arial"/>
          <w:noProof/>
          <w:sz w:val="22"/>
          <w:szCs w:val="22"/>
          <w:lang w:val="de-DE" w:eastAsia="de-DE"/>
        </w:rPr>
        <w:t>ft Dr. Knollmann mbH, Hannover</w:t>
      </w:r>
    </w:p>
    <w:p w:rsidR="008456B9" w:rsidRDefault="00DD2E90" w:rsidP="006F1F56">
      <w:pPr>
        <w:pStyle w:val="StandardWeb"/>
        <w:numPr>
          <w:ilvl w:val="0"/>
          <w:numId w:val="35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>PFI Planungsgemeinschaft GbR, Hannover</w:t>
      </w:r>
    </w:p>
    <w:p w:rsidR="00E929B6" w:rsidRPr="008724E8" w:rsidRDefault="00DD2E90" w:rsidP="008724E8">
      <w:pPr>
        <w:pStyle w:val="StandardWeb"/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A</w:t>
      </w:r>
      <w:r>
        <w:rPr>
          <w:rFonts w:ascii="Arial" w:hAnsi="Arial"/>
          <w:noProof/>
          <w:sz w:val="22"/>
          <w:szCs w:val="22"/>
          <w:lang w:val="de-DE" w:eastAsia="de-DE"/>
        </w:rPr>
        <w:t>m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 22.05.2014 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traf sich </w:t>
      </w:r>
      <w:r>
        <w:rPr>
          <w:rFonts w:ascii="Arial" w:hAnsi="Arial"/>
          <w:noProof/>
          <w:sz w:val="22"/>
          <w:szCs w:val="22"/>
          <w:lang w:val="de-DE" w:eastAsia="de-DE"/>
        </w:rPr>
        <w:t>eine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 Arb</w:t>
      </w:r>
      <w:r>
        <w:rPr>
          <w:rFonts w:ascii="Arial" w:hAnsi="Arial"/>
          <w:noProof/>
          <w:sz w:val="22"/>
          <w:szCs w:val="22"/>
          <w:lang w:val="de-DE" w:eastAsia="de-DE"/>
        </w:rPr>
        <w:t>eit</w:t>
      </w:r>
      <w:r>
        <w:rPr>
          <w:rFonts w:ascii="Arial" w:hAnsi="Arial"/>
          <w:noProof/>
          <w:sz w:val="22"/>
          <w:szCs w:val="22"/>
          <w:lang w:val="de-DE" w:eastAsia="de-DE"/>
        </w:rPr>
        <w:t>s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guppe zum Thema Aktivkohle im </w:t>
      </w:r>
      <w:r w:rsidRPr="0038190E">
        <w:rPr>
          <w:rFonts w:ascii="Arial" w:hAnsi="Arial"/>
          <w:noProof/>
          <w:sz w:val="22"/>
          <w:szCs w:val="22"/>
          <w:lang w:val="de-DE" w:eastAsia="de-DE"/>
        </w:rPr>
        <w:t>Ministerium für Klimaschutz, Umwelt, Landwirtschaft, Natur- und Verbraucherschutz NRW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 in Düsseldorf</w:t>
      </w:r>
      <w:r>
        <w:rPr>
          <w:rFonts w:ascii="Arial" w:hAnsi="Arial"/>
          <w:noProof/>
          <w:sz w:val="22"/>
          <w:szCs w:val="22"/>
          <w:lang w:val="de-DE" w:eastAsia="de-DE"/>
        </w:rPr>
        <w:t>. Die Teilnehmerliste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 ist als Anlage 1 angefügt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. Nachfolgend ist der Ablauf des Workshops dargestellt. </w:t>
      </w:r>
    </w:p>
    <w:tbl>
      <w:tblPr>
        <w:tblW w:w="849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61"/>
        <w:gridCol w:w="1985"/>
        <w:gridCol w:w="2551"/>
      </w:tblGrid>
      <w:tr w:rsidR="008724E8" w:rsidRPr="00B45C16" w:rsidTr="008370AA">
        <w:tc>
          <w:tcPr>
            <w:tcW w:w="3961" w:type="dxa"/>
            <w:vAlign w:val="center"/>
          </w:tcPr>
          <w:p w:rsidR="008724E8" w:rsidRPr="008724E8" w:rsidRDefault="00DD2E90" w:rsidP="00102CA6">
            <w:pPr>
              <w:spacing w:before="12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8724E8">
              <w:rPr>
                <w:rFonts w:cs="Arial"/>
                <w:b/>
                <w:sz w:val="20"/>
                <w:szCs w:val="20"/>
              </w:rPr>
              <w:lastRenderedPageBreak/>
              <w:t>Thema</w:t>
            </w:r>
          </w:p>
        </w:tc>
        <w:tc>
          <w:tcPr>
            <w:tcW w:w="1985" w:type="dxa"/>
            <w:vAlign w:val="center"/>
          </w:tcPr>
          <w:p w:rsidR="008724E8" w:rsidRPr="008724E8" w:rsidRDefault="00DD2E90" w:rsidP="00102CA6">
            <w:pPr>
              <w:spacing w:before="120" w:after="60" w:line="24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8724E8">
              <w:rPr>
                <w:rFonts w:cs="Arial"/>
                <w:b/>
                <w:sz w:val="20"/>
                <w:szCs w:val="20"/>
                <w:lang w:eastAsia="en-US"/>
              </w:rPr>
              <w:t>Referent</w:t>
            </w:r>
          </w:p>
        </w:tc>
        <w:tc>
          <w:tcPr>
            <w:tcW w:w="2551" w:type="dxa"/>
            <w:vAlign w:val="center"/>
          </w:tcPr>
          <w:p w:rsidR="008724E8" w:rsidRPr="008724E8" w:rsidRDefault="00DD2E90" w:rsidP="00102CA6">
            <w:pPr>
              <w:spacing w:before="12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8724E8">
              <w:rPr>
                <w:rFonts w:cs="Arial"/>
                <w:b/>
                <w:sz w:val="20"/>
                <w:szCs w:val="20"/>
              </w:rPr>
              <w:t>Institution</w:t>
            </w:r>
          </w:p>
        </w:tc>
      </w:tr>
      <w:tr w:rsidR="008370AA" w:rsidRPr="00B45C16" w:rsidTr="008370AA">
        <w:tc>
          <w:tcPr>
            <w:tcW w:w="3961" w:type="dxa"/>
            <w:vAlign w:val="center"/>
          </w:tcPr>
          <w:p w:rsidR="008370AA" w:rsidRPr="008724E8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724E8">
              <w:rPr>
                <w:rFonts w:cs="Arial"/>
                <w:sz w:val="20"/>
                <w:szCs w:val="20"/>
              </w:rPr>
              <w:t xml:space="preserve">Begrüßung Kompetenzzentrum </w:t>
            </w:r>
            <w:proofErr w:type="spellStart"/>
            <w:r w:rsidRPr="008724E8">
              <w:rPr>
                <w:rFonts w:cs="Arial"/>
                <w:sz w:val="20"/>
                <w:szCs w:val="20"/>
              </w:rPr>
              <w:t>Mikroschadstoffe.NRW</w:t>
            </w:r>
            <w:proofErr w:type="spellEnd"/>
          </w:p>
        </w:tc>
        <w:tc>
          <w:tcPr>
            <w:tcW w:w="1985" w:type="dxa"/>
            <w:vAlign w:val="center"/>
          </w:tcPr>
          <w:p w:rsidR="008370AA" w:rsidRPr="00B45C16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Marcus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Bloser</w:t>
            </w:r>
            <w:proofErr w:type="spellEnd"/>
          </w:p>
        </w:tc>
        <w:tc>
          <w:tcPr>
            <w:tcW w:w="2551" w:type="dxa"/>
            <w:vAlign w:val="center"/>
          </w:tcPr>
          <w:p w:rsidR="008370AA" w:rsidRPr="00B45C16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Kompetenzzentrum </w:t>
            </w:r>
            <w:proofErr w:type="spellStart"/>
            <w:r>
              <w:rPr>
                <w:rFonts w:cs="Arial"/>
                <w:sz w:val="20"/>
                <w:szCs w:val="20"/>
              </w:rPr>
              <w:t>Mikroschadstoffe.NRW</w:t>
            </w:r>
            <w:proofErr w:type="spellEnd"/>
          </w:p>
        </w:tc>
      </w:tr>
      <w:tr w:rsidR="008370AA" w:rsidRPr="00B45C16" w:rsidTr="008370AA">
        <w:tc>
          <w:tcPr>
            <w:tcW w:w="3961" w:type="dxa"/>
            <w:vAlign w:val="center"/>
          </w:tcPr>
          <w:p w:rsidR="008370AA" w:rsidRPr="008724E8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724E8">
              <w:rPr>
                <w:rFonts w:cs="Arial"/>
                <w:sz w:val="20"/>
                <w:szCs w:val="20"/>
              </w:rPr>
              <w:t xml:space="preserve">Einführung MKULNV – Zielsetzung der </w:t>
            </w:r>
            <w:r w:rsidRPr="008724E8">
              <w:rPr>
                <w:rFonts w:cs="Arial"/>
                <w:sz w:val="20"/>
                <w:szCs w:val="20"/>
              </w:rPr>
              <w:t>Arbeitsgruppe</w:t>
            </w:r>
          </w:p>
        </w:tc>
        <w:tc>
          <w:tcPr>
            <w:tcW w:w="1985" w:type="dxa"/>
            <w:vAlign w:val="center"/>
          </w:tcPr>
          <w:p w:rsidR="008370AA" w:rsidRPr="00B45C16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B45C16">
              <w:rPr>
                <w:rFonts w:cs="Arial"/>
                <w:sz w:val="20"/>
                <w:szCs w:val="20"/>
                <w:lang w:eastAsia="en-US"/>
              </w:rPr>
              <w:t xml:space="preserve">Dr. Viktor </w:t>
            </w:r>
            <w:proofErr w:type="spellStart"/>
            <w:r w:rsidRPr="00B45C16">
              <w:rPr>
                <w:rFonts w:cs="Arial"/>
                <w:sz w:val="20"/>
                <w:szCs w:val="20"/>
                <w:lang w:eastAsia="en-US"/>
              </w:rPr>
              <w:t>M</w:t>
            </w:r>
            <w:r w:rsidRPr="00B45C16">
              <w:rPr>
                <w:rFonts w:cs="Arial"/>
                <w:sz w:val="20"/>
                <w:szCs w:val="20"/>
              </w:rPr>
              <w:t>ertsch</w:t>
            </w:r>
            <w:proofErr w:type="spellEnd"/>
            <w:r>
              <w:rPr>
                <w:rFonts w:cs="Arial"/>
                <w:sz w:val="20"/>
                <w:szCs w:val="20"/>
              </w:rPr>
              <w:t>, Andrea Kaste</w:t>
            </w:r>
          </w:p>
        </w:tc>
        <w:tc>
          <w:tcPr>
            <w:tcW w:w="2551" w:type="dxa"/>
            <w:vAlign w:val="center"/>
          </w:tcPr>
          <w:p w:rsidR="008370AA" w:rsidRPr="00B45C16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45C16">
              <w:rPr>
                <w:rFonts w:cs="Arial"/>
                <w:sz w:val="20"/>
                <w:szCs w:val="20"/>
              </w:rPr>
              <w:t>MKULNV NRW</w:t>
            </w:r>
          </w:p>
        </w:tc>
      </w:tr>
      <w:tr w:rsidR="008370AA" w:rsidRPr="00B45C16" w:rsidTr="008370AA">
        <w:tc>
          <w:tcPr>
            <w:tcW w:w="3961" w:type="dxa"/>
            <w:vAlign w:val="center"/>
          </w:tcPr>
          <w:p w:rsidR="008370AA" w:rsidRPr="008724E8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724E8">
              <w:rPr>
                <w:rFonts w:cs="Arial"/>
                <w:sz w:val="20"/>
                <w:szCs w:val="20"/>
                <w:lang w:eastAsia="en-US"/>
              </w:rPr>
              <w:t>Status Quo über in NRW geförderte Studien und sich in Planung bzw. in Bau befindliche Anlagen</w:t>
            </w:r>
          </w:p>
        </w:tc>
        <w:tc>
          <w:tcPr>
            <w:tcW w:w="1985" w:type="dxa"/>
            <w:vAlign w:val="center"/>
          </w:tcPr>
          <w:p w:rsidR="008370AA" w:rsidRPr="00B45C16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Dr. Heinrich Herbst</w:t>
            </w:r>
          </w:p>
        </w:tc>
        <w:tc>
          <w:tcPr>
            <w:tcW w:w="2551" w:type="dxa"/>
            <w:vAlign w:val="center"/>
          </w:tcPr>
          <w:p w:rsidR="008370AA" w:rsidRPr="00B45C16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Kompetenzzentrum </w:t>
            </w:r>
            <w:proofErr w:type="spellStart"/>
            <w:r>
              <w:rPr>
                <w:rFonts w:cs="Arial"/>
                <w:sz w:val="20"/>
                <w:szCs w:val="20"/>
              </w:rPr>
              <w:t>Mikroschadstoffe.NRW</w:t>
            </w:r>
            <w:proofErr w:type="spellEnd"/>
          </w:p>
        </w:tc>
      </w:tr>
      <w:tr w:rsidR="008370AA" w:rsidRPr="00B45C16" w:rsidTr="008370AA">
        <w:tc>
          <w:tcPr>
            <w:tcW w:w="3961" w:type="dxa"/>
            <w:vAlign w:val="center"/>
          </w:tcPr>
          <w:p w:rsidR="008370AA" w:rsidRPr="008724E8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  <w:lang w:eastAsia="nl-NL"/>
              </w:rPr>
            </w:pPr>
            <w:r>
              <w:rPr>
                <w:rFonts w:cs="Arial"/>
                <w:sz w:val="20"/>
                <w:szCs w:val="20"/>
                <w:lang w:eastAsia="nl-NL"/>
              </w:rPr>
              <w:t xml:space="preserve">Kurzvorträge zu </w:t>
            </w:r>
            <w:r w:rsidRPr="008724E8">
              <w:rPr>
                <w:rFonts w:cs="Arial"/>
                <w:sz w:val="20"/>
                <w:szCs w:val="20"/>
                <w:lang w:eastAsia="nl-NL"/>
              </w:rPr>
              <w:t>Erfahrungen</w:t>
            </w:r>
            <w:r w:rsidRPr="008724E8">
              <w:rPr>
                <w:rFonts w:cs="Arial"/>
                <w:sz w:val="20"/>
                <w:szCs w:val="20"/>
                <w:lang w:eastAsia="nl-NL"/>
              </w:rPr>
              <w:t xml:space="preserve"> der </w:t>
            </w:r>
            <w:r w:rsidRPr="008724E8">
              <w:rPr>
                <w:rFonts w:cs="Arial"/>
                <w:sz w:val="20"/>
                <w:szCs w:val="20"/>
                <w:lang w:eastAsia="nl-NL"/>
              </w:rPr>
              <w:br/>
              <w:t>Planer / In</w:t>
            </w:r>
            <w:r w:rsidRPr="008724E8">
              <w:rPr>
                <w:rFonts w:cs="Arial"/>
                <w:sz w:val="20"/>
                <w:szCs w:val="20"/>
                <w:lang w:eastAsia="nl-NL"/>
              </w:rPr>
              <w:t>stitute</w:t>
            </w:r>
          </w:p>
        </w:tc>
        <w:tc>
          <w:tcPr>
            <w:tcW w:w="1985" w:type="dxa"/>
            <w:vAlign w:val="center"/>
          </w:tcPr>
          <w:p w:rsidR="008370AA" w:rsidRPr="00B45C16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Ingenieurbüros</w:t>
            </w:r>
            <w:r>
              <w:rPr>
                <w:rFonts w:cs="Arial"/>
                <w:sz w:val="20"/>
                <w:szCs w:val="20"/>
                <w:lang w:eastAsia="en-US"/>
              </w:rPr>
              <w:t>/In</w:t>
            </w:r>
            <w:r>
              <w:rPr>
                <w:rFonts w:cs="Arial"/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stitute</w:t>
            </w:r>
            <w:proofErr w:type="spellEnd"/>
          </w:p>
        </w:tc>
        <w:tc>
          <w:tcPr>
            <w:tcW w:w="2551" w:type="dxa"/>
            <w:vAlign w:val="center"/>
          </w:tcPr>
          <w:p w:rsidR="008370AA" w:rsidRPr="00B45C16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7675E" w:rsidRPr="000C5539" w:rsidTr="008370AA">
        <w:tc>
          <w:tcPr>
            <w:tcW w:w="3961" w:type="dxa"/>
            <w:vAlign w:val="center"/>
          </w:tcPr>
          <w:p w:rsidR="0067675E" w:rsidRPr="008724E8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724E8">
              <w:rPr>
                <w:rFonts w:cs="Arial"/>
                <w:sz w:val="20"/>
                <w:szCs w:val="20"/>
              </w:rPr>
              <w:t>Erarbeitung von Auslegungsempfehlungen in Kleingruppen</w:t>
            </w:r>
          </w:p>
        </w:tc>
        <w:tc>
          <w:tcPr>
            <w:tcW w:w="1985" w:type="dxa"/>
            <w:vAlign w:val="center"/>
          </w:tcPr>
          <w:p w:rsidR="0067675E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Gruppenarbeit</w:t>
            </w:r>
          </w:p>
        </w:tc>
        <w:tc>
          <w:tcPr>
            <w:tcW w:w="2551" w:type="dxa"/>
            <w:vAlign w:val="center"/>
          </w:tcPr>
          <w:p w:rsidR="0067675E" w:rsidRPr="00B45C16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370AA" w:rsidRPr="000C5539" w:rsidTr="008370AA">
        <w:tc>
          <w:tcPr>
            <w:tcW w:w="3961" w:type="dxa"/>
            <w:vAlign w:val="center"/>
          </w:tcPr>
          <w:p w:rsidR="008370AA" w:rsidRPr="008724E8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8724E8">
              <w:rPr>
                <w:rFonts w:cs="Arial"/>
                <w:sz w:val="20"/>
                <w:szCs w:val="20"/>
              </w:rPr>
              <w:t xml:space="preserve">Ergebnispräsentation und </w:t>
            </w:r>
            <w:r w:rsidRPr="008724E8">
              <w:rPr>
                <w:rFonts w:cs="Arial"/>
                <w:sz w:val="20"/>
                <w:szCs w:val="20"/>
              </w:rPr>
              <w:br/>
              <w:t>-diskussion zu den Auslegungsempfehlungen</w:t>
            </w:r>
          </w:p>
        </w:tc>
        <w:tc>
          <w:tcPr>
            <w:tcW w:w="1985" w:type="dxa"/>
            <w:vAlign w:val="center"/>
          </w:tcPr>
          <w:p w:rsidR="008370AA" w:rsidRPr="00B45C16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Gruppenarbeit</w:t>
            </w:r>
          </w:p>
        </w:tc>
        <w:tc>
          <w:tcPr>
            <w:tcW w:w="2551" w:type="dxa"/>
            <w:vAlign w:val="center"/>
          </w:tcPr>
          <w:p w:rsidR="008370AA" w:rsidRPr="00B45C16" w:rsidRDefault="00DD2E90" w:rsidP="001B13E9">
            <w:pPr>
              <w:spacing w:before="12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68558E" w:rsidRDefault="00DD2E90" w:rsidP="000C5539">
      <w:pPr>
        <w:spacing w:after="120"/>
        <w:rPr>
          <w:rFonts w:cs="Arial"/>
          <w:b/>
        </w:rPr>
      </w:pPr>
    </w:p>
    <w:p w:rsidR="0027140F" w:rsidRDefault="00DD2E90" w:rsidP="00581A72">
      <w:pPr>
        <w:rPr>
          <w:noProof/>
        </w:rPr>
      </w:pPr>
      <w:r>
        <w:rPr>
          <w:noProof/>
        </w:rPr>
        <w:t>Die von den Teilnehmern zur Verfügung gestellten Kurzvorträge sind in Anlage 2 angefügt. Die Auslegungsempfehlungen wurden in zwei Kleingruppen anhand eines Formblattes erarbeitet und anschließend gemeinsam diskutiert. Die Ergebnisse aus den Formblättern s</w:t>
      </w:r>
      <w:r>
        <w:rPr>
          <w:noProof/>
        </w:rPr>
        <w:t xml:space="preserve">ind in Kapitel </w:t>
      </w:r>
      <w:r>
        <w:rPr>
          <w:noProof/>
        </w:rPr>
        <w:fldChar w:fldCharType="begin"/>
      </w:r>
      <w:r>
        <w:rPr>
          <w:noProof/>
        </w:rPr>
        <w:instrText xml:space="preserve"> REF _Ref396721545 \r \h </w:instrText>
      </w:r>
      <w:r>
        <w:rPr>
          <w:noProof/>
        </w:rPr>
        <w:fldChar w:fldCharType="separate"/>
      </w:r>
      <w:r>
        <w:rPr>
          <w:b/>
          <w:bCs/>
          <w:noProof/>
        </w:rPr>
        <w:t>Fehler! Verweisquelle konnte nicht gefunden werden.</w:t>
      </w:r>
      <w:r>
        <w:rPr>
          <w:noProof/>
        </w:rPr>
        <w:fldChar w:fldCharType="end"/>
      </w:r>
      <w:r>
        <w:rPr>
          <w:noProof/>
        </w:rPr>
        <w:t xml:space="preserve"> dargestellt.</w:t>
      </w:r>
    </w:p>
    <w:p w:rsidR="004A5D8C" w:rsidRDefault="00DD2E90" w:rsidP="00581A72">
      <w:pPr>
        <w:rPr>
          <w:noProof/>
        </w:rPr>
      </w:pPr>
      <w:r w:rsidRPr="000A3ACE">
        <w:rPr>
          <w:noProof/>
        </w:rPr>
        <w:t>Der zweite Workshop zum Thema Ozon</w:t>
      </w:r>
      <w:r>
        <w:rPr>
          <w:noProof/>
        </w:rPr>
        <w:t xml:space="preserve"> war für den 10.06.2014 ebenfalls in Düsseldorf geplant.</w:t>
      </w:r>
      <w:r w:rsidRPr="000A3ACE">
        <w:rPr>
          <w:noProof/>
        </w:rPr>
        <w:t xml:space="preserve"> </w:t>
      </w:r>
      <w:r>
        <w:rPr>
          <w:noProof/>
        </w:rPr>
        <w:t>Aufgrund des schweren</w:t>
      </w:r>
      <w:r w:rsidRPr="000A3ACE">
        <w:rPr>
          <w:noProof/>
        </w:rPr>
        <w:t xml:space="preserve"> Unwetter</w:t>
      </w:r>
      <w:r>
        <w:rPr>
          <w:noProof/>
        </w:rPr>
        <w:t xml:space="preserve">s am </w:t>
      </w:r>
      <w:r>
        <w:rPr>
          <w:noProof/>
        </w:rPr>
        <w:t>Pfingstmontag konn</w:t>
      </w:r>
      <w:r>
        <w:rPr>
          <w:noProof/>
        </w:rPr>
        <w:t>t</w:t>
      </w:r>
      <w:r>
        <w:rPr>
          <w:noProof/>
        </w:rPr>
        <w:t xml:space="preserve">e dieser Workshop nicht durchgeführt werden. Stattdessen wurde die Erfahrungen der Ingenieurbüros zur </w:t>
      </w:r>
      <w:r>
        <w:rPr>
          <w:noProof/>
        </w:rPr>
        <w:t xml:space="preserve">Erarbeitung der </w:t>
      </w:r>
      <w:r>
        <w:rPr>
          <w:noProof/>
        </w:rPr>
        <w:t>Anlagenauslegung</w:t>
      </w:r>
      <w:r>
        <w:rPr>
          <w:noProof/>
        </w:rPr>
        <w:t xml:space="preserve"> von Ozonanlagen</w:t>
      </w:r>
      <w:r>
        <w:rPr>
          <w:noProof/>
        </w:rPr>
        <w:t xml:space="preserve"> über </w:t>
      </w:r>
      <w:r>
        <w:rPr>
          <w:noProof/>
        </w:rPr>
        <w:t xml:space="preserve">ein </w:t>
      </w:r>
      <w:r>
        <w:rPr>
          <w:noProof/>
        </w:rPr>
        <w:t>Formblatt abgefragt.</w:t>
      </w:r>
    </w:p>
    <w:p w:rsidR="007164F1" w:rsidRDefault="00DD2E90" w:rsidP="007164F1">
      <w:pPr>
        <w:rPr>
          <w:noProof/>
        </w:rPr>
      </w:pPr>
      <w:r>
        <w:rPr>
          <w:noProof/>
        </w:rPr>
        <w:t>Vom Kompetenzzentrum Mikroschadstoffe wurden zur systema</w:t>
      </w:r>
      <w:r>
        <w:rPr>
          <w:noProof/>
        </w:rPr>
        <w:t xml:space="preserve">tischen Erarbeitung der Empfehlungen zur Anlagenauslegung jeweils ein Formblatt für Anlagen mit Aktivkohle und für Ozonanlage </w:t>
      </w:r>
      <w:r>
        <w:rPr>
          <w:noProof/>
        </w:rPr>
        <w:t>ausgearbeitet</w:t>
      </w:r>
      <w:r>
        <w:rPr>
          <w:noProof/>
        </w:rPr>
        <w:t xml:space="preserve">. </w:t>
      </w:r>
    </w:p>
    <w:p w:rsidR="007164F1" w:rsidRDefault="00DD2E90" w:rsidP="007164F1">
      <w:pPr>
        <w:rPr>
          <w:noProof/>
        </w:rPr>
      </w:pPr>
      <w:r>
        <w:rPr>
          <w:noProof/>
        </w:rPr>
        <w:t>V</w:t>
      </w:r>
      <w:r>
        <w:rPr>
          <w:noProof/>
        </w:rPr>
        <w:t>erfahrensunabhängig wurden zuerst allgemeine Aspekte und Grundlagen zur Verfahrenswahl erarbeitet.</w:t>
      </w:r>
      <w:r>
        <w:rPr>
          <w:noProof/>
        </w:rPr>
        <w:t xml:space="preserve"> Anschließend w</w:t>
      </w:r>
      <w:r>
        <w:rPr>
          <w:noProof/>
        </w:rPr>
        <w:t>urden verfahrensspezifische Empfehlungen zur Auslegung von Pulveraktivkohleanlagen, Anlagen mit granulierter Aktivkohle sowie Ozonanlagen abgefragt.</w:t>
      </w:r>
    </w:p>
    <w:p w:rsidR="00DC17F7" w:rsidRDefault="00DD2E90" w:rsidP="007164F1">
      <w:pPr>
        <w:rPr>
          <w:noProof/>
        </w:rPr>
      </w:pPr>
      <w:r>
        <w:rPr>
          <w:noProof/>
        </w:rPr>
        <w:t>Der erste Block zu den verfahrensunabhängigen Grundlagen und grundsätzlichen Verfahrenswahl wurde von den T</w:t>
      </w:r>
      <w:r>
        <w:rPr>
          <w:noProof/>
        </w:rPr>
        <w:t>eilnehmern, die bereits diese Punkte im Aktivkohleworkshop bearbeitet haben, nicht mehr ausgefüllt.</w:t>
      </w:r>
    </w:p>
    <w:p w:rsidR="009C3103" w:rsidRDefault="00DD2E90" w:rsidP="007164F1">
      <w:pPr>
        <w:rPr>
          <w:noProof/>
        </w:rPr>
      </w:pPr>
      <w:r>
        <w:rPr>
          <w:noProof/>
        </w:rPr>
        <w:t>In Anlage 3</w:t>
      </w:r>
      <w:r>
        <w:rPr>
          <w:noProof/>
        </w:rPr>
        <w:t xml:space="preserve"> sind die Ergebnisse der Formblätter</w:t>
      </w:r>
      <w:r>
        <w:rPr>
          <w:noProof/>
        </w:rPr>
        <w:t xml:space="preserve"> da</w:t>
      </w:r>
      <w:r>
        <w:rPr>
          <w:noProof/>
        </w:rPr>
        <w:t>rgestellt</w:t>
      </w:r>
      <w:r>
        <w:rPr>
          <w:noProof/>
        </w:rPr>
        <w:t>,</w:t>
      </w:r>
      <w:r>
        <w:rPr>
          <w:noProof/>
        </w:rPr>
        <w:t xml:space="preserve"> auf dessen Grundlage </w:t>
      </w:r>
      <w:r>
        <w:rPr>
          <w:noProof/>
        </w:rPr>
        <w:t xml:space="preserve">das Kompetenzzentrum Mikroschadstoffe.NRW eine synoptische Empfehlung zur </w:t>
      </w:r>
      <w:r>
        <w:rPr>
          <w:noProof/>
        </w:rPr>
        <w:t>Anlagenauslegung formuliert hat.</w:t>
      </w:r>
    </w:p>
    <w:p w:rsidR="004C7E76" w:rsidRDefault="00DD2E90" w:rsidP="007164F1">
      <w:pPr>
        <w:rPr>
          <w:noProof/>
        </w:rPr>
      </w:pPr>
    </w:p>
    <w:p w:rsidR="004C7E76" w:rsidRPr="00687424" w:rsidRDefault="00DD2E90" w:rsidP="00687424">
      <w:pPr>
        <w:pStyle w:val="berschrift1"/>
        <w:rPr>
          <w:rFonts w:ascii="Arial" w:hAnsi="Arial" w:cs="Arial"/>
        </w:rPr>
      </w:pPr>
      <w:bookmarkStart w:id="4" w:name="_Toc398024627"/>
      <w:r w:rsidRPr="004B3E1F">
        <w:rPr>
          <w:rFonts w:ascii="Arial" w:hAnsi="Arial" w:cs="Arial"/>
        </w:rPr>
        <w:lastRenderedPageBreak/>
        <w:t>Auslegungsempfehlungen</w:t>
      </w:r>
      <w:bookmarkEnd w:id="4"/>
    </w:p>
    <w:p w:rsidR="004C7E76" w:rsidRDefault="00DD2E90" w:rsidP="007164F1">
      <w:pPr>
        <w:rPr>
          <w:noProof/>
        </w:rPr>
      </w:pPr>
    </w:p>
    <w:p w:rsidR="004C7E76" w:rsidRDefault="00DD2E90" w:rsidP="00687424">
      <w:pPr>
        <w:pStyle w:val="berschrift2"/>
      </w:pPr>
      <w:bookmarkStart w:id="5" w:name="_Toc398024628"/>
      <w:r w:rsidRPr="00687424">
        <w:t>Grundlagen</w:t>
      </w:r>
      <w:r w:rsidRPr="00687424">
        <w:t xml:space="preserve"> zur Auslegung</w:t>
      </w:r>
      <w:r w:rsidRPr="00687424">
        <w:t xml:space="preserve"> und Verfahrensauswahl</w:t>
      </w:r>
      <w:bookmarkEnd w:id="5"/>
    </w:p>
    <w:p w:rsidR="00687424" w:rsidRPr="00687424" w:rsidRDefault="00DD2E90" w:rsidP="00687424"/>
    <w:p w:rsidR="008456B9" w:rsidRPr="004B3E1F" w:rsidRDefault="00DD2E90" w:rsidP="004B3E1F">
      <w:pPr>
        <w:rPr>
          <w:noProof/>
        </w:rPr>
      </w:pPr>
      <w:r w:rsidRPr="004B3E1F">
        <w:rPr>
          <w:noProof/>
        </w:rPr>
        <w:t>Zurzeit e</w:t>
      </w:r>
      <w:r w:rsidRPr="004B3E1F">
        <w:rPr>
          <w:noProof/>
        </w:rPr>
        <w:t xml:space="preserve">xistieren keine </w:t>
      </w:r>
      <w:r w:rsidRPr="004B3E1F">
        <w:rPr>
          <w:noProof/>
        </w:rPr>
        <w:t>em</w:t>
      </w:r>
      <w:r w:rsidRPr="004B3E1F">
        <w:rPr>
          <w:noProof/>
        </w:rPr>
        <w:t>i</w:t>
      </w:r>
      <w:r w:rsidRPr="004B3E1F">
        <w:rPr>
          <w:noProof/>
        </w:rPr>
        <w:t>ssionsbasierte</w:t>
      </w:r>
      <w:r>
        <w:rPr>
          <w:noProof/>
        </w:rPr>
        <w:t>n</w:t>
      </w:r>
      <w:r w:rsidRPr="004B3E1F">
        <w:rPr>
          <w:noProof/>
        </w:rPr>
        <w:t xml:space="preserve"> Vorgabe</w:t>
      </w:r>
      <w:r w:rsidRPr="004B3E1F">
        <w:rPr>
          <w:noProof/>
        </w:rPr>
        <w:t>n</w:t>
      </w:r>
      <w:r w:rsidRPr="004B3E1F">
        <w:rPr>
          <w:noProof/>
        </w:rPr>
        <w:t xml:space="preserve"> zur </w:t>
      </w:r>
      <w:r w:rsidRPr="004B3E1F">
        <w:rPr>
          <w:noProof/>
        </w:rPr>
        <w:t>Auslegungs</w:t>
      </w:r>
      <w:r w:rsidRPr="004B3E1F">
        <w:rPr>
          <w:noProof/>
        </w:rPr>
        <w:t xml:space="preserve">wassermenge der Anlagen zur Mikroschadstoffelimination. Aus Sicht der Ingenieurbüros ist eine Auslegung </w:t>
      </w:r>
      <w:r w:rsidRPr="004B3E1F">
        <w:rPr>
          <w:noProof/>
        </w:rPr>
        <w:t xml:space="preserve">der Anlagen auf eine Vollstrombehandlung </w:t>
      </w:r>
      <w:r w:rsidRPr="004B3E1F">
        <w:rPr>
          <w:noProof/>
        </w:rPr>
        <w:t>des Mischwasserabflusses in der Regel nicht erforderlich.</w:t>
      </w:r>
      <w:r w:rsidRPr="004B3E1F">
        <w:rPr>
          <w:noProof/>
        </w:rPr>
        <w:t xml:space="preserve"> </w:t>
      </w:r>
      <w:r w:rsidRPr="004B3E1F">
        <w:rPr>
          <w:noProof/>
        </w:rPr>
        <w:t>Die Ermittlung der Auslegungswassermenge kann nach zw</w:t>
      </w:r>
      <w:r w:rsidRPr="004B3E1F">
        <w:rPr>
          <w:noProof/>
        </w:rPr>
        <w:t xml:space="preserve">ei </w:t>
      </w:r>
      <w:r w:rsidRPr="004B3E1F">
        <w:rPr>
          <w:noProof/>
        </w:rPr>
        <w:t xml:space="preserve">Methoden erfolgen. Möglich ist eine </w:t>
      </w:r>
    </w:p>
    <w:p w:rsidR="008456B9" w:rsidRPr="008456B9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8456B9">
        <w:rPr>
          <w:rFonts w:ascii="Arial" w:hAnsi="Arial"/>
          <w:noProof/>
          <w:sz w:val="22"/>
          <w:szCs w:val="22"/>
          <w:lang w:val="de-DE" w:eastAsia="de-DE"/>
        </w:rPr>
        <w:t xml:space="preserve">Auslegung </w:t>
      </w:r>
      <w:r w:rsidRPr="008456B9">
        <w:rPr>
          <w:rFonts w:ascii="Arial" w:hAnsi="Arial"/>
          <w:noProof/>
          <w:sz w:val="22"/>
          <w:szCs w:val="22"/>
          <w:lang w:val="de-DE" w:eastAsia="de-DE"/>
        </w:rPr>
        <w:t>auf Basis des Mischwasserabflusses (Q</w:t>
      </w:r>
      <w:r w:rsidRPr="008456B9">
        <w:rPr>
          <w:rFonts w:ascii="Arial" w:hAnsi="Arial"/>
          <w:noProof/>
          <w:sz w:val="22"/>
          <w:szCs w:val="22"/>
          <w:vertAlign w:val="subscript"/>
          <w:lang w:val="de-DE" w:eastAsia="de-DE"/>
        </w:rPr>
        <w:t>M</w:t>
      </w:r>
      <w:r w:rsidRPr="008456B9">
        <w:rPr>
          <w:rFonts w:ascii="Arial" w:hAnsi="Arial"/>
          <w:noProof/>
          <w:sz w:val="22"/>
          <w:szCs w:val="22"/>
          <w:lang w:val="de-DE" w:eastAsia="de-DE"/>
        </w:rPr>
        <w:t>)</w:t>
      </w:r>
      <w:r w:rsidRPr="008456B9">
        <w:rPr>
          <w:rFonts w:ascii="Arial" w:hAnsi="Arial"/>
          <w:noProof/>
          <w:sz w:val="22"/>
          <w:szCs w:val="22"/>
          <w:lang w:val="de-DE" w:eastAsia="de-DE"/>
        </w:rPr>
        <w:t xml:space="preserve"> bzw. </w:t>
      </w:r>
      <w:r w:rsidRPr="008456B9">
        <w:rPr>
          <w:rFonts w:ascii="Arial" w:hAnsi="Arial"/>
          <w:noProof/>
          <w:sz w:val="22"/>
          <w:szCs w:val="22"/>
          <w:lang w:val="de-DE" w:eastAsia="de-DE"/>
        </w:rPr>
        <w:t xml:space="preserve">des </w:t>
      </w:r>
      <w:r w:rsidRPr="008456B9">
        <w:rPr>
          <w:rFonts w:ascii="Arial" w:hAnsi="Arial"/>
          <w:noProof/>
          <w:sz w:val="22"/>
          <w:szCs w:val="22"/>
          <w:lang w:val="de-DE" w:eastAsia="de-DE"/>
        </w:rPr>
        <w:t>Trockenwetterabflusses (Q</w:t>
      </w:r>
      <w:r w:rsidRPr="008456B9">
        <w:rPr>
          <w:rFonts w:ascii="Arial" w:hAnsi="Arial"/>
          <w:noProof/>
          <w:sz w:val="22"/>
          <w:szCs w:val="22"/>
          <w:vertAlign w:val="subscript"/>
          <w:lang w:val="de-DE" w:eastAsia="de-DE"/>
        </w:rPr>
        <w:t>T</w:t>
      </w:r>
      <w:r w:rsidRPr="008456B9">
        <w:rPr>
          <w:rFonts w:ascii="Arial" w:hAnsi="Arial"/>
          <w:noProof/>
          <w:sz w:val="22"/>
          <w:szCs w:val="22"/>
          <w:lang w:val="de-DE" w:eastAsia="de-DE"/>
        </w:rPr>
        <w:t>)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 oder</w:t>
      </w:r>
    </w:p>
    <w:p w:rsidR="008456B9" w:rsidRPr="008456B9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 xml:space="preserve">auf Basis der </w:t>
      </w:r>
      <w:r>
        <w:rPr>
          <w:rFonts w:ascii="Arial" w:hAnsi="Arial"/>
          <w:noProof/>
          <w:sz w:val="22"/>
          <w:szCs w:val="22"/>
          <w:lang w:val="de-DE" w:eastAsia="de-DE"/>
        </w:rPr>
        <w:t>Jahresabwassermenge (JAM)</w:t>
      </w:r>
      <w:r>
        <w:rPr>
          <w:rFonts w:ascii="Arial" w:hAnsi="Arial"/>
          <w:noProof/>
          <w:sz w:val="22"/>
          <w:szCs w:val="22"/>
          <w:lang w:val="de-DE" w:eastAsia="de-DE"/>
        </w:rPr>
        <w:t>.</w:t>
      </w:r>
    </w:p>
    <w:p w:rsidR="00611235" w:rsidRDefault="00DD2E90" w:rsidP="004C7E76">
      <w:pPr>
        <w:spacing w:line="280" w:lineRule="atLeast"/>
        <w:rPr>
          <w:noProof/>
        </w:rPr>
      </w:pPr>
      <w:r>
        <w:rPr>
          <w:noProof/>
        </w:rPr>
        <w:t xml:space="preserve">Bezogen auf </w:t>
      </w:r>
      <w:r>
        <w:rPr>
          <w:noProof/>
        </w:rPr>
        <w:t xml:space="preserve">die </w:t>
      </w:r>
      <w:r>
        <w:rPr>
          <w:noProof/>
        </w:rPr>
        <w:t>Jahres</w:t>
      </w:r>
      <w:r>
        <w:rPr>
          <w:noProof/>
        </w:rPr>
        <w:t>abwasser</w:t>
      </w:r>
      <w:r>
        <w:rPr>
          <w:noProof/>
        </w:rPr>
        <w:t xml:space="preserve">menge </w:t>
      </w:r>
      <w:r>
        <w:rPr>
          <w:noProof/>
        </w:rPr>
        <w:t>soll die Auslegungsmenge eine Behandlung</w:t>
      </w:r>
      <w:r>
        <w:rPr>
          <w:noProof/>
        </w:rPr>
        <w:t xml:space="preserve"> zwischen 80-95 % de</w:t>
      </w:r>
      <w:r>
        <w:rPr>
          <w:noProof/>
        </w:rPr>
        <w:t>r</w:t>
      </w:r>
      <w:r>
        <w:rPr>
          <w:noProof/>
        </w:rPr>
        <w:t xml:space="preserve"> JAM</w:t>
      </w:r>
      <w:r>
        <w:rPr>
          <w:noProof/>
        </w:rPr>
        <w:t xml:space="preserve"> in der Anlage ermöglichen</w:t>
      </w:r>
      <w:r>
        <w:rPr>
          <w:noProof/>
        </w:rPr>
        <w:t xml:space="preserve">. Die </w:t>
      </w:r>
      <w:r>
        <w:rPr>
          <w:noProof/>
        </w:rPr>
        <w:t>Auslegungswasser</w:t>
      </w:r>
      <w:r>
        <w:rPr>
          <w:noProof/>
        </w:rPr>
        <w:t>menge</w:t>
      </w:r>
      <w:r>
        <w:rPr>
          <w:noProof/>
        </w:rPr>
        <w:t xml:space="preserve"> auf Basis des Misch-/Trockenwetterabflusses</w:t>
      </w:r>
      <w:r>
        <w:rPr>
          <w:noProof/>
        </w:rPr>
        <w:t xml:space="preserve"> </w:t>
      </w:r>
      <w:r>
        <w:rPr>
          <w:noProof/>
        </w:rPr>
        <w:t>soll ca.</w:t>
      </w:r>
      <w:r>
        <w:rPr>
          <w:noProof/>
        </w:rPr>
        <w:t xml:space="preserve"> 50 % des Q</w:t>
      </w:r>
      <w:r w:rsidRPr="00FE2517">
        <w:rPr>
          <w:noProof/>
          <w:vertAlign w:val="subscript"/>
        </w:rPr>
        <w:t>M</w:t>
      </w:r>
      <w:r>
        <w:rPr>
          <w:noProof/>
        </w:rPr>
        <w:t xml:space="preserve"> </w:t>
      </w:r>
      <w:r>
        <w:rPr>
          <w:noProof/>
        </w:rPr>
        <w:t>bzw. Q</w:t>
      </w:r>
      <w:r>
        <w:rPr>
          <w:noProof/>
          <w:vertAlign w:val="subscript"/>
        </w:rPr>
        <w:t>T</w:t>
      </w:r>
      <w:r w:rsidRPr="00611235">
        <w:rPr>
          <w:noProof/>
          <w:vertAlign w:val="subscript"/>
        </w:rPr>
        <w:t>,max</w:t>
      </w:r>
      <w:r>
        <w:rPr>
          <w:noProof/>
        </w:rPr>
        <w:t xml:space="preserve"> betragen. </w:t>
      </w:r>
      <w:r>
        <w:rPr>
          <w:noProof/>
        </w:rPr>
        <w:t>Die Auslegungswassermengen sind mit der Genehmigungsbehörde abzustimmen.</w:t>
      </w:r>
    </w:p>
    <w:p w:rsidR="00FA42FD" w:rsidRDefault="00DD2E90" w:rsidP="004C7E76">
      <w:pPr>
        <w:spacing w:line="280" w:lineRule="atLeast"/>
        <w:rPr>
          <w:noProof/>
        </w:rPr>
      </w:pPr>
      <w:r>
        <w:rPr>
          <w:noProof/>
        </w:rPr>
        <w:t>Die</w:t>
      </w:r>
      <w:r>
        <w:rPr>
          <w:noProof/>
        </w:rPr>
        <w:t xml:space="preserve"> </w:t>
      </w:r>
      <w:r w:rsidRPr="000650A7">
        <w:rPr>
          <w:b/>
          <w:noProof/>
        </w:rPr>
        <w:t>standortspezi</w:t>
      </w:r>
      <w:r w:rsidRPr="000650A7">
        <w:rPr>
          <w:b/>
          <w:noProof/>
        </w:rPr>
        <w:t>fischen</w:t>
      </w:r>
      <w:r>
        <w:rPr>
          <w:noProof/>
        </w:rPr>
        <w:t xml:space="preserve"> </w:t>
      </w:r>
      <w:r w:rsidRPr="00EC26AA">
        <w:rPr>
          <w:b/>
          <w:noProof/>
        </w:rPr>
        <w:t>Abwassereigenschaften</w:t>
      </w:r>
      <w:r>
        <w:rPr>
          <w:noProof/>
        </w:rPr>
        <w:t xml:space="preserve"> sind zur fundierten</w:t>
      </w:r>
      <w:r>
        <w:rPr>
          <w:noProof/>
        </w:rPr>
        <w:t xml:space="preserve"> Verfahrensauswahl und später </w:t>
      </w:r>
      <w:r>
        <w:rPr>
          <w:noProof/>
        </w:rPr>
        <w:t xml:space="preserve">für </w:t>
      </w:r>
      <w:r>
        <w:rPr>
          <w:noProof/>
        </w:rPr>
        <w:t xml:space="preserve">die Dimensionierung der Anlage </w:t>
      </w:r>
      <w:r>
        <w:rPr>
          <w:noProof/>
        </w:rPr>
        <w:t>zu berücksichtigen. Relevante Parameter sind der gelöste organische Kohlenstoff (DOC)</w:t>
      </w:r>
      <w:r>
        <w:rPr>
          <w:noProof/>
        </w:rPr>
        <w:t xml:space="preserve"> bzw.</w:t>
      </w:r>
      <w:r>
        <w:rPr>
          <w:noProof/>
        </w:rPr>
        <w:t xml:space="preserve"> der CSB sowie der Feststoffgehalt des Abwassers (AFS). </w:t>
      </w:r>
      <w:r>
        <w:rPr>
          <w:noProof/>
        </w:rPr>
        <w:t>Zur Prüfung der Umsetzbarkeit einer</w:t>
      </w:r>
      <w:r>
        <w:rPr>
          <w:noProof/>
        </w:rPr>
        <w:t xml:space="preserve"> Ozonung ist die Bromidkonzentrat</w:t>
      </w:r>
      <w:r>
        <w:rPr>
          <w:noProof/>
        </w:rPr>
        <w:t>ion des Abwassers</w:t>
      </w:r>
      <w:r>
        <w:rPr>
          <w:noProof/>
        </w:rPr>
        <w:t xml:space="preserve"> im Vorfeld</w:t>
      </w:r>
      <w:r>
        <w:rPr>
          <w:noProof/>
        </w:rPr>
        <w:t xml:space="preserve"> zu erm</w:t>
      </w:r>
      <w:r>
        <w:rPr>
          <w:noProof/>
        </w:rPr>
        <w:t>itteln, da aus Bromid durch Ozon kanzergogen</w:t>
      </w:r>
      <w:r>
        <w:rPr>
          <w:noProof/>
        </w:rPr>
        <w:t>s</w:t>
      </w:r>
      <w:r>
        <w:rPr>
          <w:noProof/>
        </w:rPr>
        <w:t xml:space="preserve">e Bromat entstehen kann. </w:t>
      </w:r>
    </w:p>
    <w:p w:rsidR="004521B4" w:rsidRDefault="00DD2E90" w:rsidP="004C7E76">
      <w:pPr>
        <w:spacing w:line="280" w:lineRule="atLeast"/>
        <w:rPr>
          <w:rFonts w:cs="Arial"/>
          <w:noProof/>
        </w:rPr>
      </w:pPr>
      <w:r>
        <w:rPr>
          <w:noProof/>
        </w:rPr>
        <w:t>Ferne</w:t>
      </w:r>
      <w:r>
        <w:rPr>
          <w:noProof/>
        </w:rPr>
        <w:t>r</w:t>
      </w:r>
      <w:r>
        <w:rPr>
          <w:noProof/>
        </w:rPr>
        <w:t xml:space="preserve"> ist ein Screening d</w:t>
      </w:r>
      <w:r>
        <w:rPr>
          <w:noProof/>
        </w:rPr>
        <w:t xml:space="preserve">es Abwassers auf Mikroschadstoffe durchzuführen, dass auf die standortspezifischen </w:t>
      </w:r>
      <w:r w:rsidRPr="004521B4">
        <w:rPr>
          <w:rFonts w:cs="Arial"/>
          <w:noProof/>
        </w:rPr>
        <w:t>Bedingungen</w:t>
      </w:r>
      <w:r>
        <w:rPr>
          <w:rFonts w:cs="Arial"/>
          <w:noProof/>
        </w:rPr>
        <w:t>,</w:t>
      </w:r>
      <w:r w:rsidRPr="004521B4">
        <w:rPr>
          <w:rFonts w:cs="Arial"/>
          <w:noProof/>
        </w:rPr>
        <w:t xml:space="preserve"> z. B. infolge von </w:t>
      </w:r>
      <w:r>
        <w:rPr>
          <w:rFonts w:cs="Arial"/>
          <w:noProof/>
        </w:rPr>
        <w:t>Indirekteinleitern und der Vorbelastung des Gewässers</w:t>
      </w:r>
      <w:r>
        <w:rPr>
          <w:rFonts w:cs="Arial"/>
          <w:noProof/>
        </w:rPr>
        <w:t>,</w:t>
      </w:r>
      <w:r>
        <w:rPr>
          <w:rFonts w:cs="Arial"/>
          <w:noProof/>
        </w:rPr>
        <w:t xml:space="preserve"> abgestimmt ist.</w:t>
      </w:r>
      <w:r w:rsidRPr="00CD38CA">
        <w:rPr>
          <w:noProof/>
        </w:rPr>
        <w:t xml:space="preserve"> </w:t>
      </w:r>
      <w:r>
        <w:rPr>
          <w:noProof/>
        </w:rPr>
        <w:t>Die physikalisch-chemische</w:t>
      </w:r>
      <w:r>
        <w:rPr>
          <w:noProof/>
        </w:rPr>
        <w:t>n</w:t>
      </w:r>
      <w:r>
        <w:rPr>
          <w:noProof/>
        </w:rPr>
        <w:t xml:space="preserve"> Eigenschaften der Mikroschadstoffe können i</w:t>
      </w:r>
      <w:r>
        <w:rPr>
          <w:noProof/>
        </w:rPr>
        <w:t xml:space="preserve">n einem breiten Spektrum variieren und somit auch deren Eliminierbarkeit durch bestimmte Verfahren. </w:t>
      </w:r>
      <w:r>
        <w:rPr>
          <w:rFonts w:cs="Arial"/>
          <w:noProof/>
        </w:rPr>
        <w:t>Als Mindestumfang sollten zwei 24-Stunden-Mischproben</w:t>
      </w:r>
      <w:r>
        <w:rPr>
          <w:rFonts w:cs="Arial"/>
          <w:noProof/>
        </w:rPr>
        <w:t xml:space="preserve"> bei Trockenwetterbedingungen</w:t>
      </w:r>
      <w:r>
        <w:rPr>
          <w:rFonts w:cs="Arial"/>
          <w:noProof/>
        </w:rPr>
        <w:t xml:space="preserve"> analysiert werden. Eine Datenverdichtung durch ein nachfolgendes Monitori</w:t>
      </w:r>
      <w:r>
        <w:rPr>
          <w:rFonts w:cs="Arial"/>
          <w:noProof/>
        </w:rPr>
        <w:t xml:space="preserve">ng mit </w:t>
      </w:r>
      <w:r>
        <w:rPr>
          <w:rFonts w:cs="Arial"/>
          <w:noProof/>
        </w:rPr>
        <w:t xml:space="preserve">ggf. </w:t>
      </w:r>
      <w:r>
        <w:rPr>
          <w:rFonts w:cs="Arial"/>
          <w:noProof/>
        </w:rPr>
        <w:t xml:space="preserve">reduziertem Parameterumfang ist zu empfehlen. </w:t>
      </w:r>
      <w:r>
        <w:rPr>
          <w:rFonts w:cs="Arial"/>
          <w:noProof/>
        </w:rPr>
        <w:t>Empfohlen wird im Monitoring, neben standortrelevanter Stoffe</w:t>
      </w:r>
      <w:r>
        <w:rPr>
          <w:rFonts w:cs="Arial"/>
          <w:noProof/>
        </w:rPr>
        <w:t xml:space="preserve">, die im Screening auffällig waren, eine Auswahl von </w:t>
      </w:r>
      <w:r>
        <w:rPr>
          <w:rFonts w:cs="Arial"/>
          <w:noProof/>
        </w:rPr>
        <w:t>aussagekräftige</w:t>
      </w:r>
      <w:r>
        <w:rPr>
          <w:rFonts w:cs="Arial"/>
          <w:noProof/>
        </w:rPr>
        <w:t>n</w:t>
      </w:r>
      <w:r>
        <w:rPr>
          <w:rFonts w:cs="Arial"/>
          <w:noProof/>
        </w:rPr>
        <w:t xml:space="preserve"> und </w:t>
      </w:r>
      <w:r>
        <w:rPr>
          <w:rFonts w:cs="Arial"/>
          <w:noProof/>
        </w:rPr>
        <w:t>analytisch ausreichend genau quantifizierbaren Leitparameter</w:t>
      </w:r>
      <w:r>
        <w:rPr>
          <w:rFonts w:cs="Arial"/>
          <w:noProof/>
        </w:rPr>
        <w:t>n</w:t>
      </w:r>
      <w:r>
        <w:rPr>
          <w:rFonts w:cs="Arial"/>
          <w:noProof/>
        </w:rPr>
        <w:t xml:space="preserve"> z</w:t>
      </w:r>
      <w:r>
        <w:rPr>
          <w:rFonts w:cs="Arial"/>
          <w:noProof/>
        </w:rPr>
        <w:t>u treffen</w:t>
      </w:r>
      <w:r>
        <w:rPr>
          <w:rFonts w:cs="Arial"/>
          <w:noProof/>
        </w:rPr>
        <w:t>. Im F/E-Projekt TP6</w:t>
      </w:r>
      <w:r>
        <w:rPr>
          <w:rFonts w:cs="Arial"/>
          <w:noProof/>
        </w:rPr>
        <w:t xml:space="preserve"> „Elimination von Arzneimittelrückständen in kommunalen Kläranlagen“</w:t>
      </w:r>
      <w:r>
        <w:rPr>
          <w:rFonts w:cs="Arial"/>
          <w:noProof/>
        </w:rPr>
        <w:t xml:space="preserve"> wurden folgende Stoffe </w:t>
      </w:r>
      <w:r>
        <w:rPr>
          <w:rFonts w:cs="Arial"/>
          <w:noProof/>
        </w:rPr>
        <w:t xml:space="preserve">für eine Monitoring als Leitparameter </w:t>
      </w:r>
      <w:r>
        <w:rPr>
          <w:rFonts w:cs="Arial"/>
          <w:noProof/>
        </w:rPr>
        <w:t>empfohlen</w:t>
      </w:r>
      <w:r>
        <w:rPr>
          <w:rFonts w:cs="Arial"/>
          <w:noProof/>
        </w:rPr>
        <w:t>:</w:t>
      </w:r>
    </w:p>
    <w:p w:rsidR="000C0104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Azneimittelwirkstoffe</w:t>
      </w:r>
    </w:p>
    <w:p w:rsidR="000C0104" w:rsidRDefault="00DD2E90" w:rsidP="006F1F56">
      <w:pPr>
        <w:pStyle w:val="StandardWeb"/>
        <w:numPr>
          <w:ilvl w:val="1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Diclofenac</w:t>
      </w:r>
    </w:p>
    <w:p w:rsidR="000C0104" w:rsidRDefault="00DD2E90" w:rsidP="006F1F56">
      <w:pPr>
        <w:pStyle w:val="StandardWeb"/>
        <w:numPr>
          <w:ilvl w:val="1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Metoprolol</w:t>
      </w:r>
    </w:p>
    <w:p w:rsidR="000C0104" w:rsidRDefault="00DD2E90" w:rsidP="006F1F56">
      <w:pPr>
        <w:pStyle w:val="StandardWeb"/>
        <w:numPr>
          <w:ilvl w:val="1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Carbamazepin</w:t>
      </w:r>
    </w:p>
    <w:p w:rsidR="000C0104" w:rsidRDefault="00DD2E90" w:rsidP="006F1F56">
      <w:pPr>
        <w:pStyle w:val="StandardWeb"/>
        <w:numPr>
          <w:ilvl w:val="1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Ciprofloxacin</w:t>
      </w:r>
    </w:p>
    <w:p w:rsidR="000C0104" w:rsidRPr="00B3390D" w:rsidRDefault="00DD2E90" w:rsidP="006F1F56">
      <w:pPr>
        <w:pStyle w:val="StandardWeb"/>
        <w:numPr>
          <w:ilvl w:val="1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Sulfamethoxazol</w:t>
      </w:r>
    </w:p>
    <w:p w:rsidR="00D54990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lastRenderedPageBreak/>
        <w:t>Perflourierte Tenside (PFC) bei entsprechenden Indirekteinleitern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 wie z. B. aus der metallbe- und verarbeitenden Industrie</w:t>
      </w:r>
    </w:p>
    <w:p w:rsidR="000C0104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 xml:space="preserve">Galaxolide (HHCB, Moschusduftstoff) </w:t>
      </w:r>
    </w:p>
    <w:p w:rsidR="00B3390D" w:rsidRPr="00D833D2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ggf. wirkungsbezogene Analytik zu östrogenen Effekten (A-YES-Assay oder ER CALUX</w:t>
      </w:r>
      <w:r>
        <w:rPr>
          <w:rFonts w:ascii="Arial" w:hAnsi="Arial"/>
          <w:noProof/>
          <w:sz w:val="22"/>
          <w:szCs w:val="22"/>
          <w:lang w:val="de-DE" w:eastAsia="de-DE"/>
        </w:rPr>
        <w:t>)</w:t>
      </w:r>
    </w:p>
    <w:p w:rsidR="00C92282" w:rsidRDefault="00DD2E90" w:rsidP="004C7E76">
      <w:pPr>
        <w:spacing w:line="280" w:lineRule="atLeast"/>
        <w:rPr>
          <w:noProof/>
        </w:rPr>
      </w:pPr>
      <w:r>
        <w:rPr>
          <w:noProof/>
        </w:rPr>
        <w:t xml:space="preserve">Bei der </w:t>
      </w:r>
      <w:r w:rsidRPr="00B30DE6">
        <w:rPr>
          <w:b/>
          <w:noProof/>
        </w:rPr>
        <w:t>Verfa</w:t>
      </w:r>
      <w:r w:rsidRPr="00B30DE6">
        <w:rPr>
          <w:b/>
          <w:noProof/>
        </w:rPr>
        <w:t>hrenswahl</w:t>
      </w:r>
      <w:r>
        <w:rPr>
          <w:noProof/>
        </w:rPr>
        <w:t xml:space="preserve"> sollten </w:t>
      </w:r>
      <w:r>
        <w:rPr>
          <w:noProof/>
        </w:rPr>
        <w:t xml:space="preserve">mindestens </w:t>
      </w:r>
      <w:r>
        <w:rPr>
          <w:noProof/>
        </w:rPr>
        <w:t xml:space="preserve">die großtechnisch erprobten Verfahren Ozonung, </w:t>
      </w:r>
      <w:r>
        <w:rPr>
          <w:noProof/>
        </w:rPr>
        <w:t>Pulveraktivkohle (PAK) und granulierte</w:t>
      </w:r>
      <w:r>
        <w:rPr>
          <w:noProof/>
        </w:rPr>
        <w:t xml:space="preserve"> Aktivkohle (GAK) </w:t>
      </w:r>
      <w:r>
        <w:rPr>
          <w:noProof/>
        </w:rPr>
        <w:t>in Betrachtet gezogen werden. Die örtlichen Randbe</w:t>
      </w:r>
      <w:r>
        <w:rPr>
          <w:noProof/>
        </w:rPr>
        <w:t>ding</w:t>
      </w:r>
      <w:r>
        <w:rPr>
          <w:noProof/>
        </w:rPr>
        <w:t>ungen</w:t>
      </w:r>
      <w:r>
        <w:rPr>
          <w:noProof/>
        </w:rPr>
        <w:t xml:space="preserve"> in Hinblick auf die </w:t>
      </w:r>
      <w:r w:rsidRPr="00C92282">
        <w:rPr>
          <w:noProof/>
        </w:rPr>
        <w:t xml:space="preserve">Integration einer Anlage zur </w:t>
      </w:r>
      <w:r w:rsidRPr="00C92282">
        <w:rPr>
          <w:noProof/>
        </w:rPr>
        <w:t>Mikroschadstoffelimination</w:t>
      </w:r>
      <w:r>
        <w:rPr>
          <w:noProof/>
        </w:rPr>
        <w:t xml:space="preserve"> sind bei der Verfahrenswahl und der Ausarbeitung von Untervarianten zu berücksichtigen. </w:t>
      </w:r>
      <w:r>
        <w:rPr>
          <w:noProof/>
        </w:rPr>
        <w:t>Wichtige Kriterien bei der Verfahrenswahl sind:</w:t>
      </w:r>
    </w:p>
    <w:p w:rsidR="005B37DF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Eliminationsleistung der Verfahren hinsichtlich relevanter Mikroschadstoffe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 im Ablauf der Klä</w:t>
      </w:r>
      <w:r>
        <w:rPr>
          <w:rFonts w:ascii="Arial" w:hAnsi="Arial"/>
          <w:noProof/>
          <w:sz w:val="22"/>
          <w:szCs w:val="22"/>
          <w:lang w:val="de-DE" w:eastAsia="de-DE"/>
        </w:rPr>
        <w:t>ranlage</w:t>
      </w:r>
    </w:p>
    <w:p w:rsidR="00C92282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C92282">
        <w:rPr>
          <w:rFonts w:ascii="Arial" w:hAnsi="Arial"/>
          <w:noProof/>
          <w:sz w:val="22"/>
          <w:szCs w:val="22"/>
          <w:lang w:val="de-DE" w:eastAsia="de-DE"/>
        </w:rPr>
        <w:t>Platzbedarf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 und Flächenverfügbarkeit</w:t>
      </w:r>
    </w:p>
    <w:p w:rsidR="00C92282" w:rsidRPr="00C92282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vorhandene</w:t>
      </w:r>
      <w:r w:rsidRPr="00C92282">
        <w:rPr>
          <w:rFonts w:ascii="Arial" w:hAnsi="Arial"/>
          <w:noProof/>
          <w:sz w:val="22"/>
          <w:szCs w:val="22"/>
          <w:lang w:val="de-DE" w:eastAsia="de-DE"/>
        </w:rPr>
        <w:t xml:space="preserve"> 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nutzbare </w:t>
      </w:r>
      <w:r w:rsidRPr="00C92282">
        <w:rPr>
          <w:rFonts w:ascii="Arial" w:hAnsi="Arial"/>
          <w:noProof/>
          <w:sz w:val="22"/>
          <w:szCs w:val="22"/>
          <w:lang w:val="de-DE" w:eastAsia="de-DE"/>
        </w:rPr>
        <w:t>Verfahrens</w:t>
      </w:r>
      <w:r>
        <w:rPr>
          <w:rFonts w:ascii="Arial" w:hAnsi="Arial"/>
          <w:noProof/>
          <w:sz w:val="22"/>
          <w:szCs w:val="22"/>
          <w:lang w:val="de-DE" w:eastAsia="de-DE"/>
        </w:rPr>
        <w:t>- und Bau</w:t>
      </w:r>
      <w:r w:rsidRPr="00C92282">
        <w:rPr>
          <w:rFonts w:ascii="Arial" w:hAnsi="Arial"/>
          <w:noProof/>
          <w:sz w:val="22"/>
          <w:szCs w:val="22"/>
          <w:lang w:val="de-DE" w:eastAsia="de-DE"/>
        </w:rPr>
        <w:t xml:space="preserve">technik, </w:t>
      </w:r>
      <w:r w:rsidRPr="00C92282">
        <w:rPr>
          <w:rFonts w:ascii="Arial" w:hAnsi="Arial"/>
          <w:noProof/>
          <w:sz w:val="22"/>
          <w:szCs w:val="22"/>
          <w:lang w:val="de-DE" w:eastAsia="de-DE"/>
        </w:rPr>
        <w:t xml:space="preserve">wie </w:t>
      </w:r>
      <w:r>
        <w:rPr>
          <w:rFonts w:ascii="Arial" w:hAnsi="Arial"/>
          <w:noProof/>
          <w:sz w:val="22"/>
          <w:szCs w:val="22"/>
          <w:lang w:val="de-DE" w:eastAsia="de-DE"/>
        </w:rPr>
        <w:t>z.</w:t>
      </w:r>
      <w:r>
        <w:rPr>
          <w:rFonts w:ascii="Arial" w:hAnsi="Arial"/>
          <w:noProof/>
          <w:sz w:val="22"/>
          <w:szCs w:val="22"/>
          <w:lang w:val="de-DE" w:eastAsia="de-DE"/>
        </w:rPr>
        <w:t xml:space="preserve"> </w:t>
      </w:r>
      <w:r>
        <w:rPr>
          <w:rFonts w:ascii="Arial" w:hAnsi="Arial"/>
          <w:noProof/>
          <w:sz w:val="22"/>
          <w:szCs w:val="22"/>
          <w:lang w:val="de-DE" w:eastAsia="de-DE"/>
        </w:rPr>
        <w:t>B. eine Filtrationsanlage oder</w:t>
      </w:r>
      <w:r w:rsidRPr="00C92282">
        <w:rPr>
          <w:rFonts w:ascii="Arial" w:hAnsi="Arial"/>
          <w:noProof/>
          <w:sz w:val="22"/>
          <w:szCs w:val="22"/>
          <w:lang w:val="de-DE" w:eastAsia="de-DE"/>
        </w:rPr>
        <w:t xml:space="preserve"> </w:t>
      </w:r>
      <w:r>
        <w:rPr>
          <w:rFonts w:ascii="Arial" w:hAnsi="Arial"/>
          <w:noProof/>
          <w:sz w:val="22"/>
          <w:szCs w:val="22"/>
          <w:lang w:val="de-DE" w:eastAsia="de-DE"/>
        </w:rPr>
        <w:t>freie Beckenkapazität</w:t>
      </w:r>
    </w:p>
    <w:p w:rsidR="005B37DF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 w:rsidRPr="00C92282">
        <w:rPr>
          <w:rFonts w:ascii="Arial" w:hAnsi="Arial"/>
          <w:noProof/>
          <w:sz w:val="22"/>
          <w:szCs w:val="22"/>
          <w:lang w:val="de-DE" w:eastAsia="de-DE"/>
        </w:rPr>
        <w:t>Klärschlammentsorgungswege</w:t>
      </w:r>
      <w:r w:rsidRPr="00C92282">
        <w:rPr>
          <w:rFonts w:ascii="Arial" w:hAnsi="Arial"/>
          <w:noProof/>
          <w:sz w:val="22"/>
          <w:szCs w:val="22"/>
          <w:lang w:val="de-DE" w:eastAsia="de-DE"/>
        </w:rPr>
        <w:t xml:space="preserve"> (Verbrennung oder landwirtschaftliche Verwertung)</w:t>
      </w:r>
    </w:p>
    <w:p w:rsidR="00C92282" w:rsidRPr="00C92282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Verbesserung der</w:t>
      </w:r>
      <w:r w:rsidRPr="00C92282">
        <w:rPr>
          <w:rFonts w:ascii="Arial" w:hAnsi="Arial"/>
          <w:noProof/>
          <w:sz w:val="22"/>
          <w:szCs w:val="22"/>
          <w:lang w:val="de-DE" w:eastAsia="de-DE"/>
        </w:rPr>
        <w:t xml:space="preserve"> Reinigungsl</w:t>
      </w:r>
      <w:r>
        <w:rPr>
          <w:rFonts w:ascii="Arial" w:hAnsi="Arial"/>
          <w:noProof/>
          <w:sz w:val="22"/>
          <w:szCs w:val="22"/>
          <w:lang w:val="de-DE" w:eastAsia="de-DE"/>
        </w:rPr>
        <w:t>eistung der Kläranlage z. B. für CSB, AFS und P</w:t>
      </w:r>
      <w:r>
        <w:rPr>
          <w:rFonts w:ascii="Arial" w:hAnsi="Arial"/>
          <w:noProof/>
          <w:sz w:val="22"/>
          <w:szCs w:val="22"/>
          <w:vertAlign w:val="subscript"/>
          <w:lang w:val="de-DE" w:eastAsia="de-DE"/>
        </w:rPr>
        <w:t>ges</w:t>
      </w:r>
    </w:p>
    <w:p w:rsidR="0051314D" w:rsidRPr="00C92282" w:rsidRDefault="00DD2E90" w:rsidP="006F1F56">
      <w:pPr>
        <w:pStyle w:val="StandardWeb"/>
        <w:numPr>
          <w:ilvl w:val="0"/>
          <w:numId w:val="34"/>
        </w:numPr>
        <w:rPr>
          <w:rFonts w:ascii="Arial" w:hAnsi="Arial"/>
          <w:noProof/>
          <w:sz w:val="22"/>
          <w:szCs w:val="22"/>
          <w:lang w:val="de-DE" w:eastAsia="de-DE"/>
        </w:rPr>
      </w:pPr>
      <w:r>
        <w:rPr>
          <w:rFonts w:ascii="Arial" w:hAnsi="Arial"/>
          <w:noProof/>
          <w:sz w:val="22"/>
          <w:szCs w:val="22"/>
          <w:lang w:val="de-DE" w:eastAsia="de-DE"/>
        </w:rPr>
        <w:t>Mitarbeiterqualifikation</w:t>
      </w:r>
    </w:p>
    <w:p w:rsidR="00CD38CA" w:rsidRDefault="00DD2E90" w:rsidP="00CD38CA">
      <w:pPr>
        <w:spacing w:line="280" w:lineRule="atLeast"/>
        <w:rPr>
          <w:noProof/>
        </w:rPr>
      </w:pPr>
      <w:r>
        <w:rPr>
          <w:noProof/>
        </w:rPr>
        <w:t xml:space="preserve">Die Verfahrenswahl ist durch </w:t>
      </w:r>
      <w:r w:rsidRPr="0076622A">
        <w:rPr>
          <w:b/>
          <w:noProof/>
        </w:rPr>
        <w:t>Vorversuche</w:t>
      </w:r>
      <w:r>
        <w:rPr>
          <w:noProof/>
        </w:rPr>
        <w:t xml:space="preserve"> abzusichern. </w:t>
      </w:r>
      <w:r>
        <w:rPr>
          <w:noProof/>
        </w:rPr>
        <w:t xml:space="preserve">Für die </w:t>
      </w:r>
      <w:r>
        <w:rPr>
          <w:noProof/>
        </w:rPr>
        <w:t xml:space="preserve">Verfahrenstechnik </w:t>
      </w:r>
      <w:r>
        <w:rPr>
          <w:noProof/>
        </w:rPr>
        <w:t>mit</w:t>
      </w:r>
      <w:r>
        <w:rPr>
          <w:noProof/>
        </w:rPr>
        <w:t xml:space="preserve"> Ozon</w:t>
      </w:r>
      <w:r>
        <w:rPr>
          <w:noProof/>
        </w:rPr>
        <w:t xml:space="preserve"> ist das Ozonzehrungsverhalten des Abwassers</w:t>
      </w:r>
      <w:r>
        <w:rPr>
          <w:noProof/>
        </w:rPr>
        <w:t xml:space="preserve"> in Versuchen</w:t>
      </w:r>
      <w:r>
        <w:rPr>
          <w:noProof/>
        </w:rPr>
        <w:t xml:space="preserve"> zu bestimmen</w:t>
      </w:r>
      <w:r>
        <w:rPr>
          <w:noProof/>
        </w:rPr>
        <w:t>,</w:t>
      </w:r>
      <w:r>
        <w:rPr>
          <w:noProof/>
        </w:rPr>
        <w:t xml:space="preserve"> um sowoh</w:t>
      </w:r>
      <w:r>
        <w:rPr>
          <w:noProof/>
        </w:rPr>
        <w:t>l d</w:t>
      </w:r>
      <w:r>
        <w:rPr>
          <w:noProof/>
        </w:rPr>
        <w:t>ie</w:t>
      </w:r>
      <w:r>
        <w:rPr>
          <w:noProof/>
        </w:rPr>
        <w:t xml:space="preserve"> benötigte Ozondosis als auch die Kontaktzeit festzulegen.</w:t>
      </w:r>
    </w:p>
    <w:p w:rsidR="004C7E76" w:rsidRDefault="00DD2E90" w:rsidP="004C7E76">
      <w:pPr>
        <w:spacing w:line="280" w:lineRule="atLeast"/>
        <w:rPr>
          <w:noProof/>
        </w:rPr>
      </w:pPr>
      <w:r>
        <w:rPr>
          <w:noProof/>
        </w:rPr>
        <w:t xml:space="preserve">Für die </w:t>
      </w:r>
      <w:r>
        <w:rPr>
          <w:noProof/>
        </w:rPr>
        <w:t xml:space="preserve">Verfahrenstechnik </w:t>
      </w:r>
      <w:r>
        <w:rPr>
          <w:noProof/>
        </w:rPr>
        <w:t>mit</w:t>
      </w:r>
      <w:r>
        <w:rPr>
          <w:noProof/>
        </w:rPr>
        <w:t xml:space="preserve"> Aktivkohle</w:t>
      </w:r>
      <w:r>
        <w:rPr>
          <w:noProof/>
        </w:rPr>
        <w:t xml:space="preserve"> </w:t>
      </w:r>
      <w:r>
        <w:rPr>
          <w:noProof/>
        </w:rPr>
        <w:t>ist das Adsorptionsverhalten zu untersuchen</w:t>
      </w:r>
      <w:r>
        <w:rPr>
          <w:noProof/>
        </w:rPr>
        <w:t>.</w:t>
      </w:r>
      <w:r>
        <w:rPr>
          <w:noProof/>
        </w:rPr>
        <w:t xml:space="preserve"> Neben dem Summenparameter CSB k</w:t>
      </w:r>
      <w:r>
        <w:rPr>
          <w:noProof/>
        </w:rPr>
        <w:t>ann</w:t>
      </w:r>
      <w:r>
        <w:rPr>
          <w:noProof/>
        </w:rPr>
        <w:t xml:space="preserve"> das Adsorptionsverhalten ausgewählter Mikroschadstoffe betrachtet werden.</w:t>
      </w:r>
      <w:r>
        <w:rPr>
          <w:noProof/>
        </w:rPr>
        <w:t xml:space="preserve"> Das Adsorptionsverhalten kann für die Pulveraktivkohle durch Batch-Versuche (Schüttel-Versuch) und für die </w:t>
      </w:r>
      <w:r>
        <w:rPr>
          <w:noProof/>
        </w:rPr>
        <w:t>g</w:t>
      </w:r>
      <w:r>
        <w:rPr>
          <w:noProof/>
        </w:rPr>
        <w:t>ranulierte Aktivkohle durch Säulenversuche</w:t>
      </w:r>
      <w:r>
        <w:rPr>
          <w:noProof/>
        </w:rPr>
        <w:t xml:space="preserve"> oder Kleinfilterschnelltest (R</w:t>
      </w:r>
      <w:r>
        <w:rPr>
          <w:noProof/>
        </w:rPr>
        <w:t>SSCT)</w:t>
      </w:r>
      <w:r>
        <w:rPr>
          <w:noProof/>
        </w:rPr>
        <w:t xml:space="preserve"> bestimmt werden.</w:t>
      </w:r>
    </w:p>
    <w:p w:rsidR="007C68C5" w:rsidRDefault="00DD2E90" w:rsidP="004C7E76">
      <w:pPr>
        <w:spacing w:line="280" w:lineRule="atLeast"/>
        <w:rPr>
          <w:noProof/>
        </w:rPr>
      </w:pPr>
      <w:r>
        <w:rPr>
          <w:noProof/>
        </w:rPr>
        <w:t xml:space="preserve">Die </w:t>
      </w:r>
      <w:r>
        <w:rPr>
          <w:noProof/>
        </w:rPr>
        <w:t>Auswahl</w:t>
      </w:r>
      <w:r>
        <w:rPr>
          <w:noProof/>
        </w:rPr>
        <w:t xml:space="preserve"> de</w:t>
      </w:r>
      <w:r>
        <w:rPr>
          <w:noProof/>
        </w:rPr>
        <w:t>r</w:t>
      </w:r>
      <w:r>
        <w:rPr>
          <w:noProof/>
        </w:rPr>
        <w:t xml:space="preserve"> Verfahrens</w:t>
      </w:r>
      <w:r>
        <w:rPr>
          <w:noProof/>
        </w:rPr>
        <w:t>technik</w:t>
      </w:r>
      <w:r>
        <w:rPr>
          <w:noProof/>
        </w:rPr>
        <w:t xml:space="preserve"> </w:t>
      </w:r>
      <w:r>
        <w:rPr>
          <w:noProof/>
        </w:rPr>
        <w:t>kann anhand einer</w:t>
      </w:r>
      <w:r>
        <w:rPr>
          <w:noProof/>
        </w:rPr>
        <w:t xml:space="preserve"> </w:t>
      </w:r>
      <w:r>
        <w:rPr>
          <w:noProof/>
        </w:rPr>
        <w:t>Variantenb</w:t>
      </w:r>
      <w:r>
        <w:rPr>
          <w:noProof/>
        </w:rPr>
        <w:t xml:space="preserve">ewertung </w:t>
      </w:r>
      <w:r>
        <w:rPr>
          <w:noProof/>
        </w:rPr>
        <w:t xml:space="preserve">erfolgen. Auf der moneären Seite sind Jahres-, Kapitel- und Betriebskosten zu berücksichtigen. Aus technischer und betrieblicher Sicht </w:t>
      </w:r>
      <w:r>
        <w:rPr>
          <w:noProof/>
        </w:rPr>
        <w:t>sind</w:t>
      </w:r>
      <w:r>
        <w:rPr>
          <w:noProof/>
        </w:rPr>
        <w:t xml:space="preserve"> u. a. die Eliminations</w:t>
      </w:r>
      <w:r>
        <w:rPr>
          <w:noProof/>
        </w:rPr>
        <w:t>leistung hinsichtlich relevanter Mikroschadstoffe sowie ggf. eine zusätzliche Reinigungleistung hinsichtlich klassicher Parameter wie CSB</w:t>
      </w:r>
      <w:r>
        <w:rPr>
          <w:noProof/>
        </w:rPr>
        <w:t>; AFS</w:t>
      </w:r>
      <w:r>
        <w:rPr>
          <w:noProof/>
        </w:rPr>
        <w:t xml:space="preserve"> und P</w:t>
      </w:r>
      <w:r>
        <w:rPr>
          <w:noProof/>
          <w:vertAlign w:val="subscript"/>
        </w:rPr>
        <w:t>ges</w:t>
      </w:r>
      <w:r>
        <w:rPr>
          <w:noProof/>
        </w:rPr>
        <w:t>, die Einbindung der Anlage in die bestehende Kläranlage und der Betriebsaufwand zu bewerten.</w:t>
      </w:r>
    </w:p>
    <w:p w:rsidR="006753E2" w:rsidRDefault="00DD2E90" w:rsidP="004C7E76">
      <w:pPr>
        <w:spacing w:line="280" w:lineRule="atLeast"/>
        <w:rPr>
          <w:noProof/>
        </w:rPr>
      </w:pPr>
    </w:p>
    <w:p w:rsidR="004C7E76" w:rsidRPr="00687424" w:rsidRDefault="00DD2E90" w:rsidP="00687424">
      <w:pPr>
        <w:pStyle w:val="berschrift2"/>
      </w:pPr>
      <w:bookmarkStart w:id="6" w:name="_Toc398024629"/>
      <w:r w:rsidRPr="00687424">
        <w:t xml:space="preserve">Auslegung </w:t>
      </w:r>
      <w:r w:rsidRPr="00687424">
        <w:t>von Ozonanlagen</w:t>
      </w:r>
      <w:bookmarkEnd w:id="6"/>
    </w:p>
    <w:p w:rsidR="00687424" w:rsidRDefault="00DD2E90" w:rsidP="00B30DE6"/>
    <w:p w:rsidR="004B3E1F" w:rsidRDefault="00DD2E90" w:rsidP="00687424">
      <w:r w:rsidRPr="00B30DE6">
        <w:t xml:space="preserve">Für die Auslegung </w:t>
      </w:r>
      <w:r>
        <w:t>von</w:t>
      </w:r>
      <w:r w:rsidRPr="00B30DE6">
        <w:t xml:space="preserve"> Ozonanlage</w:t>
      </w:r>
      <w:r>
        <w:t>n</w:t>
      </w:r>
      <w:r w:rsidRPr="00B30DE6">
        <w:t xml:space="preserve"> ist die maximale Ozonmenge festzulegen. Empfohlen wird die Ozondosis in Abhängigkeit von der DOC-Konzentration zu wählen. Für die Auslegung wir</w:t>
      </w:r>
      <w:r>
        <w:t>d</w:t>
      </w:r>
      <w:r w:rsidRPr="00B30DE6">
        <w:t xml:space="preserve"> ein </w:t>
      </w:r>
      <w:proofErr w:type="spellStart"/>
      <w:r w:rsidRPr="00B30DE6">
        <w:t>z</w:t>
      </w:r>
      <w:r w:rsidRPr="00B30DE6">
        <w:rPr>
          <w:vertAlign w:val="subscript"/>
        </w:rPr>
        <w:t>spez</w:t>
      </w:r>
      <w:proofErr w:type="spellEnd"/>
      <w:r w:rsidRPr="00B30DE6">
        <w:rPr>
          <w:vertAlign w:val="subscript"/>
        </w:rPr>
        <w:t xml:space="preserve">. </w:t>
      </w:r>
      <w:r w:rsidRPr="00B30DE6">
        <w:t>von 0,6 bis 1</w:t>
      </w:r>
      <w:r>
        <w:t>,0</w:t>
      </w:r>
      <w:r w:rsidRPr="00B30DE6">
        <w:t xml:space="preserve"> gO</w:t>
      </w:r>
      <w:r w:rsidRPr="00B30DE6">
        <w:rPr>
          <w:vertAlign w:val="subscript"/>
        </w:rPr>
        <w:t>3</w:t>
      </w:r>
      <w:r w:rsidRPr="00B30DE6">
        <w:t>/</w:t>
      </w:r>
      <w:proofErr w:type="spellStart"/>
      <w:r w:rsidRPr="00B30DE6">
        <w:t>gDOC</w:t>
      </w:r>
      <w:proofErr w:type="spellEnd"/>
      <w:r>
        <w:t xml:space="preserve"> empfohlen.</w:t>
      </w:r>
      <w:r>
        <w:t xml:space="preserve"> </w:t>
      </w:r>
    </w:p>
    <w:p w:rsidR="003D18FD" w:rsidRDefault="00DD2E90" w:rsidP="003D18FD">
      <w:r>
        <w:lastRenderedPageBreak/>
        <w:t>Auf Grundlag</w:t>
      </w:r>
      <w:r>
        <w:t>e der Festlegung der applizierten Ozonkonzentration C</w:t>
      </w:r>
      <w:r>
        <w:rPr>
          <w:vertAlign w:val="subscript"/>
        </w:rPr>
        <w:t>O3</w:t>
      </w:r>
      <w:r>
        <w:t xml:space="preserve"> über</w:t>
      </w:r>
    </w:p>
    <w:p w:rsidR="003D18FD" w:rsidRDefault="00DD2E90" w:rsidP="003D18FD">
      <w:pPr>
        <w:pStyle w:val="Textkrp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spez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DOC</m:t>
              </m:r>
            </m:sub>
          </m:sSub>
        </m:oMath>
      </m:oMathPara>
    </w:p>
    <w:p w:rsidR="003D18FD" w:rsidRDefault="00DD2E90" w:rsidP="003D18FD">
      <w:r>
        <w:t>kann die benötigte Produktionskapazität B</w:t>
      </w:r>
      <w:r>
        <w:rPr>
          <w:vertAlign w:val="subscript"/>
        </w:rPr>
        <w:t>O3</w:t>
      </w:r>
      <w:proofErr w:type="gramStart"/>
      <w:r>
        <w:rPr>
          <w:vertAlign w:val="subscript"/>
        </w:rPr>
        <w:t>,max</w:t>
      </w:r>
      <w:proofErr w:type="gramEnd"/>
      <w:r>
        <w:t xml:space="preserve"> der Ozonerzeuger mit</w:t>
      </w:r>
    </w:p>
    <w:p w:rsidR="003D18FD" w:rsidRDefault="00DD2E90" w:rsidP="003D18FD">
      <w:pPr>
        <w:pStyle w:val="Textkrp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Bem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sub>
          </m:sSub>
        </m:oMath>
      </m:oMathPara>
    </w:p>
    <w:p w:rsidR="003D18FD" w:rsidRDefault="00DD2E90" w:rsidP="00B30DE6">
      <w:r>
        <w:t>ermittelt werden.</w:t>
      </w:r>
    </w:p>
    <w:p w:rsidR="003D18FD" w:rsidRPr="003D18FD" w:rsidRDefault="00DD2E90" w:rsidP="00B30DE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Die </w:t>
      </w:r>
      <w:r w:rsidRPr="00B30DE6">
        <w:rPr>
          <w:rFonts w:cs="Arial"/>
          <w:color w:val="000000" w:themeColor="text1"/>
        </w:rPr>
        <w:t xml:space="preserve">Ozonerzeugung kann entweder mit flüssigem </w:t>
      </w:r>
      <w:r w:rsidRPr="00B30DE6">
        <w:rPr>
          <w:rFonts w:cs="Arial"/>
          <w:color w:val="000000" w:themeColor="text1"/>
        </w:rPr>
        <w:t>Sauerstoff (LOX), komprimierter Luft oder Sauerstoff aus einer PSA-Anlage erfolgen. Ein einfaches und wirtschaftliches Verfahren ist in der Regel die Verwendung von LOX.</w:t>
      </w:r>
      <w:r>
        <w:rPr>
          <w:rFonts w:cs="Arial"/>
          <w:color w:val="000000" w:themeColor="text1"/>
        </w:rPr>
        <w:t xml:space="preserve"> Es werden dabei ca. 10 M.-% des Sauerstoffs in Ozon umgewandelt. </w:t>
      </w:r>
      <w:r w:rsidRPr="00B30DE6">
        <w:rPr>
          <w:rFonts w:cs="Arial"/>
          <w:color w:val="000000" w:themeColor="text1"/>
        </w:rPr>
        <w:t xml:space="preserve">Im Einzelfall können </w:t>
      </w:r>
      <w:r w:rsidRPr="00B30DE6">
        <w:rPr>
          <w:rFonts w:cs="Arial"/>
          <w:color w:val="000000" w:themeColor="text1"/>
        </w:rPr>
        <w:t xml:space="preserve">ggf. auch </w:t>
      </w:r>
      <w:r>
        <w:rPr>
          <w:rFonts w:cs="Arial"/>
          <w:color w:val="000000" w:themeColor="text1"/>
        </w:rPr>
        <w:t>andere</w:t>
      </w:r>
      <w:r w:rsidRPr="00B30DE6">
        <w:rPr>
          <w:rFonts w:cs="Arial"/>
          <w:color w:val="000000" w:themeColor="text1"/>
        </w:rPr>
        <w:t xml:space="preserve"> Verfahren wirtschaftlich sein. Die Ozongeneratoren mü</w:t>
      </w:r>
      <w:r>
        <w:rPr>
          <w:rFonts w:cs="Arial"/>
          <w:color w:val="000000" w:themeColor="text1"/>
        </w:rPr>
        <w:t>ssen im Betrieb gekühlt werden.</w:t>
      </w:r>
    </w:p>
    <w:p w:rsidR="00B30DE6" w:rsidRPr="00B30DE6" w:rsidRDefault="00DD2E90" w:rsidP="00B30DE6">
      <w:pPr>
        <w:rPr>
          <w:rFonts w:cs="Arial"/>
          <w:color w:val="000000" w:themeColor="text1"/>
        </w:rPr>
      </w:pPr>
      <w:r w:rsidRPr="00B30DE6">
        <w:rPr>
          <w:rFonts w:cs="Arial"/>
          <w:color w:val="000000" w:themeColor="text1"/>
        </w:rPr>
        <w:t xml:space="preserve">Das Reaktorvolumen ist unter Berücksichtigung </w:t>
      </w:r>
      <w:r>
        <w:rPr>
          <w:rFonts w:cs="Arial"/>
          <w:color w:val="000000" w:themeColor="text1"/>
        </w:rPr>
        <w:t>der Aufenthaltszeit des Wassers im Reaktor</w:t>
      </w:r>
      <w:r>
        <w:rPr>
          <w:rFonts w:cs="Arial"/>
          <w:color w:val="000000" w:themeColor="text1"/>
        </w:rPr>
        <w:t xml:space="preserve"> und der Dauer bis zur vollständigen Ozonzehrung </w:t>
      </w:r>
      <w:r w:rsidRPr="00B30DE6">
        <w:rPr>
          <w:rFonts w:cs="Arial"/>
          <w:color w:val="000000" w:themeColor="text1"/>
        </w:rPr>
        <w:t>zu ermitteln. Die</w:t>
      </w:r>
      <w:r w:rsidRPr="00B30DE6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Ozonzehrung</w:t>
      </w:r>
      <w:r w:rsidRPr="00B30DE6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ist</w:t>
      </w:r>
      <w:r w:rsidRPr="00B30DE6">
        <w:rPr>
          <w:rFonts w:cs="Arial"/>
          <w:color w:val="000000" w:themeColor="text1"/>
        </w:rPr>
        <w:t xml:space="preserve"> auf Basis von Ozonzehrungsversuchen für das zu behandelnde Abwasser </w:t>
      </w:r>
      <w:r>
        <w:rPr>
          <w:rFonts w:cs="Arial"/>
          <w:color w:val="000000" w:themeColor="text1"/>
        </w:rPr>
        <w:t xml:space="preserve">zu ermitteln. </w:t>
      </w:r>
      <w:r>
        <w:rPr>
          <w:rFonts w:cs="Arial"/>
          <w:color w:val="000000" w:themeColor="text1"/>
        </w:rPr>
        <w:t>Die Aufenthaltszeit im festgelegten Reaktorvolumen muss eine</w:t>
      </w:r>
      <w:r>
        <w:rPr>
          <w:rFonts w:cs="Arial"/>
          <w:color w:val="000000" w:themeColor="text1"/>
        </w:rPr>
        <w:t xml:space="preserve"> </w:t>
      </w:r>
      <w:proofErr w:type="spellStart"/>
      <w:r w:rsidRPr="00B30DE6">
        <w:rPr>
          <w:rFonts w:cs="Arial"/>
          <w:color w:val="000000" w:themeColor="text1"/>
        </w:rPr>
        <w:t>weitestgehende</w:t>
      </w:r>
      <w:proofErr w:type="spellEnd"/>
      <w:r w:rsidRPr="00B30DE6">
        <w:rPr>
          <w:rFonts w:cs="Arial"/>
          <w:color w:val="000000" w:themeColor="text1"/>
        </w:rPr>
        <w:t xml:space="preserve"> Zehrung des Ozons </w:t>
      </w:r>
      <w:r>
        <w:rPr>
          <w:rFonts w:cs="Arial"/>
          <w:color w:val="000000" w:themeColor="text1"/>
        </w:rPr>
        <w:t>ermöglichen.</w:t>
      </w:r>
      <w:r>
        <w:rPr>
          <w:rFonts w:cs="Arial"/>
          <w:color w:val="000000" w:themeColor="text1"/>
        </w:rPr>
        <w:t xml:space="preserve"> </w:t>
      </w:r>
    </w:p>
    <w:p w:rsidR="002509EC" w:rsidRDefault="00DD2E90" w:rsidP="003D18FD">
      <w:r w:rsidRPr="00B30DE6">
        <w:rPr>
          <w:rFonts w:cs="Arial"/>
          <w:color w:val="000000" w:themeColor="text1"/>
        </w:rPr>
        <w:t>Die Reaktorgeometrie hat Einfluss auf die Aufenth</w:t>
      </w:r>
      <w:r w:rsidRPr="00B30DE6">
        <w:rPr>
          <w:rFonts w:cs="Arial"/>
          <w:color w:val="000000" w:themeColor="text1"/>
        </w:rPr>
        <w:t>altszeit</w:t>
      </w:r>
      <w:r>
        <w:rPr>
          <w:rFonts w:cs="Arial"/>
          <w:color w:val="000000" w:themeColor="text1"/>
        </w:rPr>
        <w:t xml:space="preserve"> des Wassers</w:t>
      </w:r>
      <w:r w:rsidRPr="00B30DE6">
        <w:rPr>
          <w:rFonts w:cs="Arial"/>
          <w:color w:val="000000" w:themeColor="text1"/>
        </w:rPr>
        <w:t xml:space="preserve"> im Reaktor und ist bei der Auslegung auf </w:t>
      </w:r>
      <w:r>
        <w:rPr>
          <w:rFonts w:cs="Arial"/>
          <w:color w:val="000000" w:themeColor="text1"/>
        </w:rPr>
        <w:t xml:space="preserve">der </w:t>
      </w:r>
      <w:r w:rsidRPr="00B30DE6">
        <w:rPr>
          <w:rFonts w:cs="Arial"/>
          <w:color w:val="000000" w:themeColor="text1"/>
        </w:rPr>
        <w:t xml:space="preserve">Grundlage von Erfahrungswerten oder einer numerischen </w:t>
      </w:r>
      <w:r>
        <w:rPr>
          <w:rFonts w:cs="Arial"/>
          <w:color w:val="000000" w:themeColor="text1"/>
        </w:rPr>
        <w:t>Strömungss</w:t>
      </w:r>
      <w:r w:rsidRPr="00B30DE6">
        <w:rPr>
          <w:rFonts w:cs="Arial"/>
          <w:color w:val="000000" w:themeColor="text1"/>
        </w:rPr>
        <w:t>imulation</w:t>
      </w:r>
      <w:r>
        <w:rPr>
          <w:rFonts w:cs="Arial"/>
          <w:color w:val="000000" w:themeColor="text1"/>
        </w:rPr>
        <w:t xml:space="preserve"> der Wasser- und Gasphase</w:t>
      </w:r>
      <w:r w:rsidRPr="00B30DE6">
        <w:rPr>
          <w:rFonts w:cs="Arial"/>
          <w:color w:val="000000" w:themeColor="text1"/>
        </w:rPr>
        <w:t xml:space="preserve"> (CFD) zu berücksichtigen.</w:t>
      </w:r>
      <w:r>
        <w:rPr>
          <w:rFonts w:cs="Arial"/>
          <w:color w:val="000000" w:themeColor="text1"/>
        </w:rPr>
        <w:t xml:space="preserve"> Als Spannweite kann die mittlere Aufenthaltszeit bei </w:t>
      </w:r>
      <w:r>
        <w:rPr>
          <w:rFonts w:cs="Arial"/>
          <w:color w:val="000000" w:themeColor="text1"/>
        </w:rPr>
        <w:t xml:space="preserve">einem </w:t>
      </w:r>
      <w:r>
        <w:rPr>
          <w:rFonts w:cs="Arial"/>
          <w:color w:val="000000" w:themeColor="text1"/>
        </w:rPr>
        <w:t>Bemess</w:t>
      </w:r>
      <w:r>
        <w:rPr>
          <w:rFonts w:cs="Arial"/>
          <w:color w:val="000000" w:themeColor="text1"/>
        </w:rPr>
        <w:t xml:space="preserve">ungszufluss zwischen 15 bis 30 min angegeben werden. </w:t>
      </w:r>
      <w:r>
        <w:rPr>
          <w:rFonts w:cs="Arial"/>
          <w:color w:val="000000" w:themeColor="text1"/>
        </w:rPr>
        <w:t>Die Eignung von k</w:t>
      </w:r>
      <w:r>
        <w:rPr>
          <w:rFonts w:cs="Arial"/>
          <w:color w:val="000000" w:themeColor="text1"/>
        </w:rPr>
        <w:t>urze</w:t>
      </w:r>
      <w:r>
        <w:rPr>
          <w:rFonts w:cs="Arial"/>
          <w:color w:val="000000" w:themeColor="text1"/>
        </w:rPr>
        <w:t>n</w:t>
      </w:r>
      <w:r>
        <w:rPr>
          <w:rFonts w:cs="Arial"/>
          <w:color w:val="000000" w:themeColor="text1"/>
        </w:rPr>
        <w:t xml:space="preserve"> Aufenthaltszeiten </w:t>
      </w:r>
      <w:r>
        <w:rPr>
          <w:rFonts w:cs="Arial"/>
          <w:color w:val="000000" w:themeColor="text1"/>
        </w:rPr>
        <w:t xml:space="preserve">ist </w:t>
      </w:r>
      <w:r>
        <w:rPr>
          <w:rFonts w:cs="Arial"/>
          <w:color w:val="000000" w:themeColor="text1"/>
        </w:rPr>
        <w:t xml:space="preserve">mit Ozonzehrungsversuchen und </w:t>
      </w:r>
      <w:r>
        <w:rPr>
          <w:rFonts w:cs="Arial"/>
          <w:color w:val="000000" w:themeColor="text1"/>
        </w:rPr>
        <w:t xml:space="preserve">einer </w:t>
      </w:r>
      <w:r>
        <w:rPr>
          <w:rFonts w:cs="Arial"/>
          <w:color w:val="000000" w:themeColor="text1"/>
        </w:rPr>
        <w:t>CFD-</w:t>
      </w:r>
      <w:r>
        <w:rPr>
          <w:rFonts w:cs="Arial"/>
          <w:color w:val="000000" w:themeColor="text1"/>
        </w:rPr>
        <w:t>Simulation nachzuweisen</w:t>
      </w:r>
    </w:p>
    <w:p w:rsidR="003D18FD" w:rsidRDefault="00DD2E90" w:rsidP="003D18F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Das Reaktorvolume</w:t>
      </w:r>
      <w:r>
        <w:rPr>
          <w:rFonts w:cs="Arial"/>
          <w:color w:val="000000" w:themeColor="text1"/>
        </w:rPr>
        <w:t>n</w:t>
      </w:r>
      <w:r>
        <w:rPr>
          <w:rFonts w:cs="Arial"/>
          <w:color w:val="000000" w:themeColor="text1"/>
        </w:rPr>
        <w:t xml:space="preserve"> kann entweder als Kaskade ausgebildet werden oder mit Leitwänden zur Förderung einer </w:t>
      </w:r>
      <w:proofErr w:type="spellStart"/>
      <w:r>
        <w:rPr>
          <w:rFonts w:cs="Arial"/>
          <w:color w:val="000000" w:themeColor="text1"/>
        </w:rPr>
        <w:t>Pfropfenströmung</w:t>
      </w:r>
      <w:proofErr w:type="spellEnd"/>
      <w:r>
        <w:rPr>
          <w:rFonts w:cs="Arial"/>
          <w:color w:val="000000" w:themeColor="text1"/>
        </w:rPr>
        <w:t xml:space="preserve"> ausgerüstet werden. Das Volumen kann in verschiedene </w:t>
      </w:r>
      <w:r>
        <w:rPr>
          <w:rFonts w:cs="Arial"/>
          <w:color w:val="000000" w:themeColor="text1"/>
        </w:rPr>
        <w:t xml:space="preserve">Begasungs- und Ausgasungszonen </w:t>
      </w:r>
      <w:r>
        <w:rPr>
          <w:rFonts w:cs="Arial"/>
          <w:color w:val="000000" w:themeColor="text1"/>
        </w:rPr>
        <w:t>unterteilt werden.</w:t>
      </w:r>
      <w:r w:rsidRPr="003D18FD">
        <w:rPr>
          <w:rFonts w:cs="Arial"/>
          <w:color w:val="000000" w:themeColor="text1"/>
        </w:rPr>
        <w:t xml:space="preserve"> </w:t>
      </w:r>
      <w:r w:rsidRPr="00B30DE6">
        <w:rPr>
          <w:rFonts w:cs="Arial"/>
          <w:color w:val="000000" w:themeColor="text1"/>
        </w:rPr>
        <w:t xml:space="preserve">Das Reaktionsbecken der Ozonanlage ist </w:t>
      </w:r>
      <w:proofErr w:type="spellStart"/>
      <w:r w:rsidRPr="00B30DE6">
        <w:rPr>
          <w:rFonts w:cs="Arial"/>
          <w:color w:val="000000" w:themeColor="text1"/>
        </w:rPr>
        <w:t>gasdicht</w:t>
      </w:r>
      <w:proofErr w:type="spellEnd"/>
      <w:r w:rsidRPr="00B30DE6">
        <w:rPr>
          <w:rFonts w:cs="Arial"/>
          <w:color w:val="000000" w:themeColor="text1"/>
        </w:rPr>
        <w:t xml:space="preserve"> ab</w:t>
      </w:r>
      <w:r w:rsidRPr="00B30DE6">
        <w:rPr>
          <w:rFonts w:cs="Arial"/>
          <w:color w:val="000000" w:themeColor="text1"/>
        </w:rPr>
        <w:t xml:space="preserve">zudecken. Der </w:t>
      </w:r>
      <w:proofErr w:type="spellStart"/>
      <w:r w:rsidRPr="00B30DE6">
        <w:rPr>
          <w:rFonts w:cs="Arial"/>
          <w:color w:val="000000" w:themeColor="text1"/>
        </w:rPr>
        <w:t>Gasraum</w:t>
      </w:r>
      <w:proofErr w:type="spellEnd"/>
      <w:r w:rsidRPr="00B30DE6">
        <w:rPr>
          <w:rFonts w:cs="Arial"/>
          <w:color w:val="000000" w:themeColor="text1"/>
        </w:rPr>
        <w:t xml:space="preserve"> ist kontinuierlich abzusaugen und das Off-Gas durch einen Restozon-Vernichter zu leiten, damit kein Ozon in die Umgebung gelangt.</w:t>
      </w:r>
    </w:p>
    <w:p w:rsidR="00B30DE6" w:rsidRPr="00B30DE6" w:rsidRDefault="00DD2E90" w:rsidP="00B30DE6">
      <w:r w:rsidRPr="00B30DE6">
        <w:t xml:space="preserve">Der Ozoneintrag kann mit Diffusoren oder mit einem </w:t>
      </w:r>
      <w:proofErr w:type="spellStart"/>
      <w:r w:rsidRPr="00B30DE6">
        <w:t>Injektorsystem</w:t>
      </w:r>
      <w:proofErr w:type="spellEnd"/>
      <w:r w:rsidRPr="00B30DE6">
        <w:t xml:space="preserve"> erfolgen. Grundsätzlich kann mit beide</w:t>
      </w:r>
      <w:r w:rsidRPr="00B30DE6">
        <w:t>n Systemen eine hohe Eintragseffizienz des Ozons erzielt werden.</w:t>
      </w:r>
      <w:r>
        <w:t xml:space="preserve"> Das Eintragssystem ist auf den maximalen </w:t>
      </w:r>
      <w:proofErr w:type="spellStart"/>
      <w:r>
        <w:t>Gasfluss</w:t>
      </w:r>
      <w:proofErr w:type="spellEnd"/>
      <w:r>
        <w:t xml:space="preserve"> auszulegen, der sich aus der maximalen Ozonmenge und der Ozonkonzentration im Produktgas der Ozongeneratoren für den Auslegungsfall ergibt.</w:t>
      </w:r>
    </w:p>
    <w:p w:rsidR="00B30DE6" w:rsidRPr="00B30DE6" w:rsidRDefault="00DD2E90" w:rsidP="00B30DE6">
      <w:r w:rsidRPr="00B30DE6">
        <w:t>B</w:t>
      </w:r>
      <w:r w:rsidRPr="00B30DE6">
        <w:t xml:space="preserve">eim Eintrag des Ozons mit Diffusoren sollte die Beckentiefe mindestens 5 m betragen, um einen </w:t>
      </w:r>
      <w:proofErr w:type="spellStart"/>
      <w:r w:rsidRPr="00B30DE6">
        <w:t>weitestgehenden</w:t>
      </w:r>
      <w:proofErr w:type="spellEnd"/>
      <w:r w:rsidRPr="00B30DE6">
        <w:t xml:space="preserve"> Übergang des gasförmigen Ozons in die Wasserphase zu erreichen. Die Mindestbeaufschlagung der Diffusoren ist zu beachten.</w:t>
      </w:r>
    </w:p>
    <w:p w:rsidR="00B30DE6" w:rsidRPr="00B30DE6" w:rsidRDefault="00DD2E90" w:rsidP="00B30DE6">
      <w:r w:rsidRPr="00B30DE6">
        <w:t xml:space="preserve">Beim </w:t>
      </w:r>
      <w:proofErr w:type="spellStart"/>
      <w:r w:rsidRPr="00B30DE6">
        <w:t>Injektorsystem</w:t>
      </w:r>
      <w:proofErr w:type="spellEnd"/>
      <w:r w:rsidRPr="00B30DE6">
        <w:t xml:space="preserve"> erfo</w:t>
      </w:r>
      <w:r w:rsidRPr="00B30DE6">
        <w:t xml:space="preserve">lgt der Ozoneintrag zuerst in einem Abwasserteilstrom, der anschließend mit dem Hauptstrom vermischt wird. Besondere Anforderungen an das Reaktionsbecken  bestehen nicht, es ist jedoch </w:t>
      </w:r>
      <w:r>
        <w:t xml:space="preserve">zusätzlich </w:t>
      </w:r>
      <w:r w:rsidRPr="00B30DE6">
        <w:t>Energie zum Betrieb der Treibwasserpumpe erforderlich.</w:t>
      </w:r>
    </w:p>
    <w:p w:rsidR="00B30DE6" w:rsidRDefault="00DD2E90" w:rsidP="00B30DE6">
      <w:pPr>
        <w:rPr>
          <w:noProof/>
        </w:rPr>
      </w:pPr>
      <w:r w:rsidRPr="00B30DE6">
        <w:lastRenderedPageBreak/>
        <w:t>Die W</w:t>
      </w:r>
      <w:r w:rsidRPr="00B30DE6">
        <w:t>ahl des Eintragssystems sollte un</w:t>
      </w:r>
      <w:r>
        <w:t>ter</w:t>
      </w:r>
      <w:r w:rsidRPr="00B30DE6">
        <w:t xml:space="preserve"> Berücksichtigung von wirtschaftlichen und betrieblichen Aspekten getroffen werden.</w:t>
      </w:r>
    </w:p>
    <w:p w:rsidR="00B30DE6" w:rsidRPr="00B30DE6" w:rsidRDefault="00DD2E90" w:rsidP="00B30DE6">
      <w:r w:rsidRPr="00B30DE6">
        <w:t>Die Steuerung des Ozoneintrags kann proportional zur Zulaufmenge erfolgen. Weitere Steuer- und Regelkonzept sind möglich, um den Ozonein</w:t>
      </w:r>
      <w:r w:rsidRPr="00B30DE6">
        <w:t>trag zu optimieren. Diese basieren in der Regel auf Messverfahren zur Berücksichtigung der Konzentrationsschwankungen der organischen Kohlenstoffverbindungen im Zulauf der Ozonanlage wie SAK-/ UV-</w:t>
      </w:r>
      <w:proofErr w:type="spellStart"/>
      <w:r w:rsidRPr="00B30DE6">
        <w:t>Vis</w:t>
      </w:r>
      <w:proofErr w:type="spellEnd"/>
      <w:r w:rsidRPr="00B30DE6">
        <w:t>-Sonden oder DOC-Messungen.</w:t>
      </w:r>
    </w:p>
    <w:p w:rsidR="00B30DE6" w:rsidRPr="00B30DE6" w:rsidRDefault="00DD2E90" w:rsidP="00B30DE6">
      <w:r w:rsidRPr="00B30DE6">
        <w:t>Ferner kann die Ozonkonzentra</w:t>
      </w:r>
      <w:r w:rsidRPr="00B30DE6">
        <w:t xml:space="preserve">tion im </w:t>
      </w:r>
      <w:proofErr w:type="spellStart"/>
      <w:r w:rsidRPr="00B30DE6">
        <w:t>Offgas</w:t>
      </w:r>
      <w:proofErr w:type="spellEnd"/>
      <w:r w:rsidRPr="00B30DE6">
        <w:t xml:space="preserve"> und in der gelösten Phase</w:t>
      </w:r>
      <w:r>
        <w:t xml:space="preserve"> </w:t>
      </w:r>
      <w:r w:rsidRPr="00B30DE6">
        <w:t>in einem Regelungskonzept eingebunden werden</w:t>
      </w:r>
      <w:r>
        <w:t>, um eine Ozon-Überdosierung zu vermeiden.</w:t>
      </w:r>
    </w:p>
    <w:p w:rsidR="004C7E76" w:rsidRDefault="00DD2E90" w:rsidP="00B30DE6">
      <w:r w:rsidRPr="00B30DE6">
        <w:t>Insgesamt kann die zulaufmengenproportionale Ozondosierung als</w:t>
      </w:r>
      <w:r>
        <w:t xml:space="preserve"> Standard</w:t>
      </w:r>
      <w:r w:rsidRPr="00B30DE6">
        <w:t xml:space="preserve"> </w:t>
      </w:r>
      <w:r>
        <w:t>für kleine Anlagen unter 100.000 EW und ohne starke Schw</w:t>
      </w:r>
      <w:r>
        <w:t xml:space="preserve">ankungen des DOC </w:t>
      </w:r>
      <w:r w:rsidRPr="00B30DE6">
        <w:t xml:space="preserve">angesehen werden. Eine allgemeingültige Empfehlung für die Berücksichtigung weiterer Regel-/Steuergrößen kann nicht gegeben werden und </w:t>
      </w:r>
      <w:r>
        <w:t>ist</w:t>
      </w:r>
      <w:r w:rsidRPr="00B30DE6">
        <w:t xml:space="preserve"> im Einzelfall zu prüfen.</w:t>
      </w:r>
    </w:p>
    <w:p w:rsidR="00B30DE6" w:rsidRDefault="00DD2E90" w:rsidP="00B30DE6">
      <w:pPr>
        <w:rPr>
          <w:noProof/>
        </w:rPr>
      </w:pPr>
      <w:r>
        <w:t xml:space="preserve">Messtechnisch ist </w:t>
      </w:r>
      <w:r w:rsidRPr="00B30DE6">
        <w:t>in geschlossenen Betriebsräumen der Ozonanlage eine Ozons</w:t>
      </w:r>
      <w:r w:rsidRPr="00B30DE6">
        <w:t>toffmessung</w:t>
      </w:r>
      <w:r>
        <w:t xml:space="preserve"> zur Sicherstellung der Arbeitssicherheit</w:t>
      </w:r>
      <w:r w:rsidRPr="00B30DE6">
        <w:t xml:space="preserve"> notwendig</w:t>
      </w:r>
      <w:r>
        <w:t>, die mit der Ozonanlage und einem Alarmsystem gekoppelt ist</w:t>
      </w:r>
      <w:r w:rsidRPr="00B30DE6">
        <w:t>.</w:t>
      </w:r>
      <w:r>
        <w:t xml:space="preserve"> Eine Sauerstoffmessung im Betriebsraum wird aus Brandschutzgründen empfohlen.</w:t>
      </w:r>
    </w:p>
    <w:p w:rsidR="00B30DE6" w:rsidRDefault="00DD2E90" w:rsidP="00B30DE6">
      <w:r>
        <w:t xml:space="preserve">Eine Nachbehandlung des </w:t>
      </w:r>
      <w:proofErr w:type="spellStart"/>
      <w:r>
        <w:t>ozonierten</w:t>
      </w:r>
      <w:proofErr w:type="spellEnd"/>
      <w:r>
        <w:t xml:space="preserve"> Wassers wird als er</w:t>
      </w:r>
      <w:r>
        <w:t xml:space="preserve">forderlich erachtet. Insgesamt ist der Kenntnisstand zur biologischen Nachbehandlung </w:t>
      </w:r>
      <w:r>
        <w:t xml:space="preserve">aber </w:t>
      </w:r>
      <w:r>
        <w:t>noch gering. Neben der Nutzung von vorhandenen Raumfilteranlagen oder Schönungsteichen ist der Einsatz von Wirbel- und Festbettreaktoren möglich.</w:t>
      </w:r>
    </w:p>
    <w:p w:rsidR="00C41CE8" w:rsidRDefault="00DD2E90" w:rsidP="00B30DE6"/>
    <w:p w:rsidR="00C41CE8" w:rsidRDefault="00DD2E90" w:rsidP="00687424">
      <w:pPr>
        <w:pStyle w:val="berschrift2"/>
      </w:pPr>
      <w:bookmarkStart w:id="7" w:name="_Toc398024630"/>
      <w:r w:rsidRPr="00687424">
        <w:t>Auslegung von Pulve</w:t>
      </w:r>
      <w:r w:rsidRPr="00687424">
        <w:t>raktivkohleanlagen</w:t>
      </w:r>
      <w:r w:rsidRPr="00687424">
        <w:t xml:space="preserve"> (PAK)</w:t>
      </w:r>
      <w:bookmarkEnd w:id="7"/>
    </w:p>
    <w:p w:rsidR="00687424" w:rsidRPr="00687424" w:rsidRDefault="00DD2E90" w:rsidP="00687424"/>
    <w:p w:rsidR="00C41CE8" w:rsidRDefault="00DD2E90" w:rsidP="00EB0DBD">
      <w:r>
        <w:t>Die übliche Spannweite der PAK-Dosierung lie</w:t>
      </w:r>
      <w:r>
        <w:t>gt</w:t>
      </w:r>
      <w:r>
        <w:t xml:space="preserve"> zwischen 10 und 20 mg/L PAK. Die Dosierung hängt u. a. vom Dosierort und einer ggf. vorgesehenen </w:t>
      </w:r>
      <w:proofErr w:type="spellStart"/>
      <w:r>
        <w:t>Rezirkulation</w:t>
      </w:r>
      <w:proofErr w:type="spellEnd"/>
      <w:r>
        <w:t xml:space="preserve"> der Kohle ab. Mittels labor- und halbtechnische</w:t>
      </w:r>
      <w:r>
        <w:t>r</w:t>
      </w:r>
      <w:r>
        <w:t xml:space="preserve"> Versuche kann eine verbesserte Schätzung der erforderlichen Dosiermenge</w:t>
      </w:r>
      <w:r>
        <w:t xml:space="preserve"> zum Erreichen einer festzulegenden Eliminationsleistung von Mikroschadstoffen</w:t>
      </w:r>
      <w:r>
        <w:t xml:space="preserve"> erfolgen.</w:t>
      </w:r>
      <w:r w:rsidRPr="002A71BC">
        <w:t xml:space="preserve"> </w:t>
      </w:r>
    </w:p>
    <w:p w:rsidR="00EB0DBD" w:rsidRDefault="00DD2E90" w:rsidP="00EB0DBD">
      <w:r>
        <w:t xml:space="preserve">Anlagen </w:t>
      </w:r>
      <w:r>
        <w:t>mit</w:t>
      </w:r>
      <w:r>
        <w:t xml:space="preserve"> Pulveraktivkohle</w:t>
      </w:r>
      <w:r>
        <w:t>dosierung</w:t>
      </w:r>
      <w:r>
        <w:t xml:space="preserve"> bestehe</w:t>
      </w:r>
      <w:r>
        <w:t>n</w:t>
      </w:r>
      <w:r>
        <w:t xml:space="preserve"> in der Regel aus einem Kontaktbecken und einer </w:t>
      </w:r>
      <w:r>
        <w:t>Stufe zum Rückhalt der PAK. Bei der Dosierung der PAK in den Flockungsraum einer Filtration sind beide Verfahrensschritte in einer Anlage kombiniert.</w:t>
      </w:r>
    </w:p>
    <w:p w:rsidR="00EB0DBD" w:rsidRPr="00EB0DBD" w:rsidRDefault="00DD2E90" w:rsidP="00EB0DBD">
      <w:r w:rsidRPr="00EB0DBD">
        <w:t>Die Aufenthaltszeit im Kontaktbecken sollte in der Regel mindestens 30 min betragen. Eine kürzere Kontaktz</w:t>
      </w:r>
      <w:r w:rsidRPr="00EB0DBD">
        <w:t xml:space="preserve">eit </w:t>
      </w:r>
      <w:r>
        <w:t>z. B. bei Dosierung in den Flockungsraum einer Filteranlage</w:t>
      </w:r>
      <w:r w:rsidRPr="00EB0DBD">
        <w:t xml:space="preserve"> ist ggf. möglich. Die Adsorptionskinetik der zu </w:t>
      </w:r>
      <w:proofErr w:type="spellStart"/>
      <w:r w:rsidRPr="00EB0DBD">
        <w:t>sorbierenden</w:t>
      </w:r>
      <w:proofErr w:type="spellEnd"/>
      <w:r w:rsidRPr="00EB0DBD">
        <w:t xml:space="preserve"> Stoffe und die Gefahr des Ausschwemmens der Kohle bei hydraulischen Spitzen muss </w:t>
      </w:r>
      <w:r>
        <w:t xml:space="preserve">bei der Auslegung des Kontaktbeckens </w:t>
      </w:r>
      <w:r w:rsidRPr="00EB0DBD">
        <w:t>beachtet werd</w:t>
      </w:r>
      <w:r w:rsidRPr="00EB0DBD">
        <w:t>en. Das Kohlealter hat keinen direkten Einfluss auf das Volumen der Kontaktbecken</w:t>
      </w:r>
      <w:r>
        <w:t>, da hierdurch die Absorptionskinetik nicht geändert wird.</w:t>
      </w:r>
    </w:p>
    <w:p w:rsidR="00C41CE8" w:rsidRDefault="00DD2E90" w:rsidP="00EB0DBD">
      <w:r w:rsidRPr="00EB0DBD">
        <w:lastRenderedPageBreak/>
        <w:t>Eine Rückführung der Kohle kann verfahrenstechnisch vorgesehen werden.</w:t>
      </w:r>
      <w:r>
        <w:t xml:space="preserve"> Das Rückführverhältnis liegt im Bereich von 0</w:t>
      </w:r>
      <w:r>
        <w:t xml:space="preserve">,5 bis 1,0. </w:t>
      </w:r>
      <w:r w:rsidRPr="00EB0DBD">
        <w:t xml:space="preserve">Der Trockensubstanzgehalt im Kontaktbecken </w:t>
      </w:r>
      <w:r>
        <w:t xml:space="preserve">an PAK </w:t>
      </w:r>
      <w:r>
        <w:t>kann dadurch</w:t>
      </w:r>
      <w:r w:rsidRPr="00EB0DBD">
        <w:t xml:space="preserve"> </w:t>
      </w:r>
      <w:r>
        <w:t>auf</w:t>
      </w:r>
      <w:r w:rsidRPr="00EB0DBD">
        <w:t xml:space="preserve"> ca. 4 g/L</w:t>
      </w:r>
      <w:r>
        <w:t xml:space="preserve"> </w:t>
      </w:r>
      <w:r>
        <w:t xml:space="preserve">angehoben werden </w:t>
      </w:r>
      <w:r>
        <w:t xml:space="preserve">und die Sorptionskapazität der Kohle kann </w:t>
      </w:r>
      <w:r>
        <w:t>weitestgehend</w:t>
      </w:r>
      <w:r>
        <w:t xml:space="preserve"> </w:t>
      </w:r>
      <w:r>
        <w:t>aus</w:t>
      </w:r>
      <w:r>
        <w:t>genutzt werden</w:t>
      </w:r>
      <w:r w:rsidRPr="00EB0DBD">
        <w:t>. Das Kontaktbecken ist mit einer Umwälzung auszurüsten, die ein Sedimentiere</w:t>
      </w:r>
      <w:r w:rsidRPr="00EB0DBD">
        <w:t xml:space="preserve">n der PAK (ISV &lt; 80 </w:t>
      </w:r>
      <w:proofErr w:type="spellStart"/>
      <w:r w:rsidRPr="00EB0DBD">
        <w:t>mL</w:t>
      </w:r>
      <w:proofErr w:type="spellEnd"/>
      <w:r w:rsidRPr="00EB0DBD">
        <w:t>/g) vermeidet.</w:t>
      </w:r>
    </w:p>
    <w:p w:rsidR="00EB0DBD" w:rsidRDefault="00DD2E90" w:rsidP="00EB0DBD">
      <w:r>
        <w:t xml:space="preserve">Die Dosierung der PAK kann proportional zur Zulaufwassermenge der Aktivkohleanlage erfolgen. </w:t>
      </w:r>
      <w:r w:rsidRPr="00EB0DBD">
        <w:t xml:space="preserve">Die Genauigkeit der PAK-Dosiervorrichtung muss eine deutliche Unterschreitung der festgelegten Dosiermenge ausschließen und </w:t>
      </w:r>
      <w:r>
        <w:t>eb</w:t>
      </w:r>
      <w:r>
        <w:t>enso</w:t>
      </w:r>
      <w:r w:rsidRPr="00EB0DBD">
        <w:t xml:space="preserve"> eine Überdosierung zur Vermeidung zu hoher Betriebskosten verhindern. </w:t>
      </w:r>
      <w:r>
        <w:t>E</w:t>
      </w:r>
      <w:r w:rsidRPr="00EB0DBD">
        <w:t xml:space="preserve">ine gravimetrische Dosierung der PAK </w:t>
      </w:r>
      <w:r>
        <w:t>kann diese Anforderungen erfüllen</w:t>
      </w:r>
      <w:r w:rsidRPr="00EB0DBD">
        <w:t xml:space="preserve">. Das Dosiersystem muss mit einem Ex-Schutz ausgerüstet sein. </w:t>
      </w:r>
      <w:r w:rsidRPr="00EB0DBD">
        <w:t>Im Bereich des PAK-Silos ist aus Arbeitsschutzgr</w:t>
      </w:r>
      <w:r w:rsidRPr="00EB0DBD">
        <w:t>ünden eine O</w:t>
      </w:r>
      <w:r w:rsidRPr="00EB0DBD">
        <w:rPr>
          <w:vertAlign w:val="subscript"/>
        </w:rPr>
        <w:t>2</w:t>
      </w:r>
      <w:r w:rsidRPr="00EB0DBD">
        <w:t>-</w:t>
      </w:r>
      <w:r w:rsidRPr="00EB0DBD">
        <w:rPr>
          <w:vertAlign w:val="subscript"/>
        </w:rPr>
        <w:t xml:space="preserve"> </w:t>
      </w:r>
      <w:r w:rsidRPr="00EB0DBD">
        <w:t>und CO-Messung erforderlich.</w:t>
      </w:r>
      <w:r>
        <w:t xml:space="preserve"> </w:t>
      </w:r>
      <w:r w:rsidRPr="00EB0DBD">
        <w:t>Für das Befeuchten und Einspülen der Kohle ist eine geeignete Mischeinrichtung zu verwenden.</w:t>
      </w:r>
      <w:r w:rsidRPr="002A71BC">
        <w:t xml:space="preserve"> </w:t>
      </w:r>
      <w:r w:rsidRPr="00EB0DBD">
        <w:t>Die Silogröße</w:t>
      </w:r>
      <w:r>
        <w:t xml:space="preserve"> für die PAK</w:t>
      </w:r>
      <w:r w:rsidRPr="00EB0DBD">
        <w:t xml:space="preserve"> sollte mindestens eine LKW-Ladung aufnehmen können. Bei der Festlegung der Silogröße ist die </w:t>
      </w:r>
      <w:r w:rsidRPr="00EB0DBD">
        <w:t>Ausdehnung der Kohle beim Befüllen zu beachten.</w:t>
      </w:r>
    </w:p>
    <w:p w:rsidR="00EB0DBD" w:rsidRPr="00EB0DBD" w:rsidRDefault="00DD2E90" w:rsidP="00EB0DBD">
      <w:r>
        <w:rPr>
          <w:noProof/>
          <w:color w:val="000000" w:themeColor="text1"/>
        </w:rPr>
        <w:t xml:space="preserve">Zum Rückhalt der PAK können </w:t>
      </w:r>
      <w:r>
        <w:rPr>
          <w:noProof/>
          <w:color w:val="000000" w:themeColor="text1"/>
        </w:rPr>
        <w:t>Absetzbecken</w:t>
      </w:r>
      <w:r>
        <w:rPr>
          <w:noProof/>
          <w:color w:val="000000" w:themeColor="text1"/>
        </w:rPr>
        <w:t xml:space="preserve"> eingesetzt werden. Die Sedimentatins</w:t>
      </w:r>
      <w:r>
        <w:rPr>
          <w:noProof/>
          <w:color w:val="000000" w:themeColor="text1"/>
        </w:rPr>
        <w:t>an</w:t>
      </w:r>
      <w:r>
        <w:rPr>
          <w:noProof/>
          <w:color w:val="000000" w:themeColor="text1"/>
        </w:rPr>
        <w:t>lagen werde</w:t>
      </w:r>
      <w:r>
        <w:rPr>
          <w:noProof/>
          <w:color w:val="000000" w:themeColor="text1"/>
        </w:rPr>
        <w:t>n</w:t>
      </w:r>
      <w:r>
        <w:rPr>
          <w:noProof/>
          <w:color w:val="000000" w:themeColor="text1"/>
        </w:rPr>
        <w:t xml:space="preserve"> auf eine Oberflächenbeschickung von q</w:t>
      </w:r>
      <w:r>
        <w:rPr>
          <w:noProof/>
          <w:color w:val="000000" w:themeColor="text1"/>
          <w:vertAlign w:val="subscript"/>
        </w:rPr>
        <w:t>A</w:t>
      </w:r>
      <w:r>
        <w:rPr>
          <w:noProof/>
          <w:color w:val="000000" w:themeColor="text1"/>
        </w:rPr>
        <w:t xml:space="preserve"> = 2 m/h aus</w:t>
      </w:r>
      <w:r>
        <w:rPr>
          <w:noProof/>
          <w:color w:val="000000" w:themeColor="text1"/>
        </w:rPr>
        <w:t>ge</w:t>
      </w:r>
      <w:r>
        <w:rPr>
          <w:noProof/>
          <w:color w:val="000000" w:themeColor="text1"/>
        </w:rPr>
        <w:t>legen.</w:t>
      </w:r>
      <w:r>
        <w:t xml:space="preserve"> </w:t>
      </w:r>
      <w:r w:rsidRPr="00EB0DBD">
        <w:t xml:space="preserve">Zur Bildung gut absetzbarer PAK-Flocken können sowohl </w:t>
      </w:r>
      <w:r w:rsidRPr="00EB0DBD">
        <w:t>Eisen- als auch Aluminiumprodukte als Fällmittel</w:t>
      </w:r>
      <w:r>
        <w:t xml:space="preserve"> sowie Flockungshilfsmittel</w:t>
      </w:r>
      <w:r w:rsidRPr="00EB0DBD">
        <w:t xml:space="preserve"> eingesetzt werden. </w:t>
      </w:r>
      <w:r w:rsidRPr="00EB0DBD">
        <w:t>Die optimale Dosierung ist vor Ort zu ermitteln.</w:t>
      </w:r>
      <w:r>
        <w:t xml:space="preserve"> Eine Trübungsmessung im Ablauf der Sedimentationsanlage wird empfohlen. </w:t>
      </w:r>
      <w:r w:rsidRPr="00EB0DBD">
        <w:t>Die bereits auf der Kläranlage eingesetz</w:t>
      </w:r>
      <w:r w:rsidRPr="00EB0DBD">
        <w:t>ten Mittel können bei der Auswahl berücksichtigt werden.</w:t>
      </w:r>
      <w:r>
        <w:t xml:space="preserve"> Der </w:t>
      </w:r>
      <w:proofErr w:type="spellStart"/>
      <w:r>
        <w:t>Fällmittelbedarf</w:t>
      </w:r>
      <w:proofErr w:type="spellEnd"/>
      <w:r>
        <w:t xml:space="preserve"> für eine P-Fällung an anderer Stelle kann ggf. reduziert werden.</w:t>
      </w:r>
      <w:r w:rsidRPr="00EB0DBD">
        <w:t xml:space="preserve"> </w:t>
      </w:r>
    </w:p>
    <w:p w:rsidR="00EB0DBD" w:rsidRDefault="00DD2E90" w:rsidP="00EB0DBD">
      <w:r>
        <w:t>Neben einem konventionellen Absetzbecken kommen grundsätzlich noch alternative Verfahren in Frage, die entweder,</w:t>
      </w:r>
      <w:r>
        <w:t xml:space="preserve"> wie z. B. das </w:t>
      </w:r>
      <w:proofErr w:type="spellStart"/>
      <w:r>
        <w:t>Actiflo</w:t>
      </w:r>
      <w:proofErr w:type="spellEnd"/>
      <w:r>
        <w:t>-Verfahren, auf eine optimierte Sedimentation der PAK oder auf eine direkte (Membran-)Filtration basieren.</w:t>
      </w:r>
    </w:p>
    <w:p w:rsidR="00EB0DBD" w:rsidRPr="00EB0DBD" w:rsidRDefault="00DD2E90" w:rsidP="00EB0DBD">
      <w:r w:rsidRPr="00EB0DBD">
        <w:t>Der</w:t>
      </w:r>
      <w:r>
        <w:t xml:space="preserve"> Ablauf der Sedimentationsstufe </w:t>
      </w:r>
      <w:r w:rsidRPr="00EB0DBD">
        <w:t>kann feindisperse Pulveraktivkohle aufweisen. Zum Rückhalt ist eine nachgeschaltete Filtrati</w:t>
      </w:r>
      <w:r w:rsidRPr="00EB0DBD">
        <w:t xml:space="preserve">on erforderlich. Neben einer konventionellen Volumenfiltration kommen alternative Verfahren (z. B. Tuch- oder </w:t>
      </w:r>
      <w:proofErr w:type="spellStart"/>
      <w:r w:rsidRPr="00EB0DBD">
        <w:t>Fuzzyfilter</w:t>
      </w:r>
      <w:proofErr w:type="spellEnd"/>
      <w:r w:rsidRPr="00EB0DBD">
        <w:t>) in Frage. Die Eignung</w:t>
      </w:r>
      <w:r>
        <w:t xml:space="preserve"> dieser Verfahren</w:t>
      </w:r>
      <w:r w:rsidRPr="00EB0DBD">
        <w:t xml:space="preserve"> zum Rückhalt von PAK ist </w:t>
      </w:r>
      <w:r>
        <w:t xml:space="preserve">derzeit </w:t>
      </w:r>
      <w:r>
        <w:t>nachzuweisen</w:t>
      </w:r>
      <w:r w:rsidRPr="00EB0DBD">
        <w:t>.</w:t>
      </w:r>
    </w:p>
    <w:p w:rsidR="00EB0DBD" w:rsidRDefault="00DD2E90" w:rsidP="00EB0DBD">
      <w:r>
        <w:t>Bei einer</w:t>
      </w:r>
      <w:r w:rsidRPr="00EB0DBD">
        <w:t xml:space="preserve"> hohe</w:t>
      </w:r>
      <w:r>
        <w:t>n</w:t>
      </w:r>
      <w:r w:rsidRPr="00EB0DBD">
        <w:t xml:space="preserve"> </w:t>
      </w:r>
      <w:proofErr w:type="spellStart"/>
      <w:r w:rsidRPr="00EB0DBD">
        <w:t>Suspensafracht</w:t>
      </w:r>
      <w:proofErr w:type="spellEnd"/>
      <w:r w:rsidRPr="00EB0DBD">
        <w:t xml:space="preserve"> im Zulauf zur Ak</w:t>
      </w:r>
      <w:r w:rsidRPr="00EB0DBD">
        <w:t xml:space="preserve">tivkohleanlage </w:t>
      </w:r>
      <w:r>
        <w:t xml:space="preserve">ist </w:t>
      </w:r>
      <w:r w:rsidRPr="00EB0DBD">
        <w:t>eine</w:t>
      </w:r>
      <w:r>
        <w:t xml:space="preserve"> Ertüchtigung der Nachklärung oder</w:t>
      </w:r>
      <w:r w:rsidRPr="00EB0DBD">
        <w:t xml:space="preserve"> </w:t>
      </w:r>
      <w:r>
        <w:t xml:space="preserve">eine </w:t>
      </w:r>
      <w:r>
        <w:t>zusätzliche vor</w:t>
      </w:r>
      <w:r w:rsidRPr="00EB0DBD">
        <w:t xml:space="preserve">geschaltete Filtration in Erwägung zu ziehen. Durch die Reduzierung der </w:t>
      </w:r>
      <w:proofErr w:type="spellStart"/>
      <w:r w:rsidRPr="00EB0DBD">
        <w:t>Suspensa</w:t>
      </w:r>
      <w:proofErr w:type="spellEnd"/>
      <w:r w:rsidRPr="00EB0DBD">
        <w:t xml:space="preserve"> vor der Aktivkohlestufe ist eine </w:t>
      </w:r>
      <w:r>
        <w:t xml:space="preserve">deutliche </w:t>
      </w:r>
      <w:r w:rsidRPr="00EB0DBD">
        <w:t>Verringerung der erforderlichen PAK-Menge möglich.</w:t>
      </w:r>
    </w:p>
    <w:p w:rsidR="00687424" w:rsidRDefault="00DD2E90" w:rsidP="00EB0DBD"/>
    <w:p w:rsidR="00687424" w:rsidRDefault="00DD2E90" w:rsidP="00EB0DBD"/>
    <w:p w:rsidR="00687424" w:rsidRDefault="00DD2E90" w:rsidP="00EB0DBD"/>
    <w:p w:rsidR="00FD414B" w:rsidRDefault="00DD2E90" w:rsidP="00687424">
      <w:pPr>
        <w:pStyle w:val="berschrift2"/>
      </w:pPr>
      <w:bookmarkStart w:id="8" w:name="_Toc398024631"/>
      <w:r w:rsidRPr="00687424">
        <w:lastRenderedPageBreak/>
        <w:t>Auslegung von Anlagen mit granulierter Aktivkohle (GAK)</w:t>
      </w:r>
      <w:bookmarkEnd w:id="8"/>
    </w:p>
    <w:p w:rsidR="00687424" w:rsidRPr="00687424" w:rsidRDefault="00DD2E90" w:rsidP="00687424"/>
    <w:p w:rsidR="00FD414B" w:rsidRDefault="00DD2E90" w:rsidP="00F8243C">
      <w:r>
        <w:t xml:space="preserve">Granulierte Aktivkohle </w:t>
      </w:r>
      <w:r>
        <w:t>wird</w:t>
      </w:r>
      <w:r>
        <w:t xml:space="preserve"> entweder in </w:t>
      </w:r>
      <w:r>
        <w:t xml:space="preserve">die </w:t>
      </w:r>
      <w:r>
        <w:t xml:space="preserve">bestehende Filteranlage eingebaut, wobei </w:t>
      </w:r>
      <w:r>
        <w:t>das</w:t>
      </w:r>
      <w:r>
        <w:t xml:space="preserve"> </w:t>
      </w:r>
      <w:r>
        <w:t>vorhandene</w:t>
      </w:r>
      <w:r>
        <w:t xml:space="preserve"> Filtermaterial gegen GAK ausgetauscht wird</w:t>
      </w:r>
      <w:r>
        <w:t>,</w:t>
      </w:r>
      <w:r>
        <w:t xml:space="preserve"> oder für die GAK ist eine neue Filteranlage</w:t>
      </w:r>
      <w:r>
        <w:t xml:space="preserve"> z. B. als Druckfilter oder konventionellen Rückspülfilter</w:t>
      </w:r>
      <w:r>
        <w:t xml:space="preserve"> zu planen.</w:t>
      </w:r>
    </w:p>
    <w:p w:rsidR="00EB0DBD" w:rsidRPr="00F8243C" w:rsidRDefault="00DD2E90" w:rsidP="00F8243C">
      <w:r>
        <w:t xml:space="preserve">Die Einsatzmöglichkeiten der GAK zur Mikroschadstoffelimination hängen stark </w:t>
      </w:r>
      <w:r>
        <w:t>von den durchsetzbaren Bettv</w:t>
      </w:r>
      <w:r>
        <w:t>olumina ab</w:t>
      </w:r>
      <w:r>
        <w:t>,</w:t>
      </w:r>
      <w:r>
        <w:t xml:space="preserve"> bis die GAK ausgetauscht bzw. regeneriert </w:t>
      </w:r>
      <w:r>
        <w:t xml:space="preserve">werden muss. </w:t>
      </w:r>
      <w:r>
        <w:t>Die Größe „dur</w:t>
      </w:r>
      <w:r>
        <w:t>chsetzbares Bettvolumen“ beschreibt, wie</w:t>
      </w:r>
      <w:r>
        <w:t xml:space="preserve"> </w:t>
      </w:r>
      <w:r>
        <w:t xml:space="preserve">viel </w:t>
      </w:r>
      <w:r>
        <w:t>Abwasser pro Filtervolumen behandel</w:t>
      </w:r>
      <w:r>
        <w:t xml:space="preserve">t wird. </w:t>
      </w:r>
      <w:r>
        <w:t xml:space="preserve">Zur Ermittlung der durchsetzbaren Bettvolumina </w:t>
      </w:r>
      <w:r>
        <w:t xml:space="preserve">werden Versuche </w:t>
      </w:r>
      <w:r>
        <w:t xml:space="preserve">mit </w:t>
      </w:r>
      <w:r>
        <w:t>verschiedenen</w:t>
      </w:r>
      <w:r>
        <w:t xml:space="preserve"> granulierten Aktivkohle</w:t>
      </w:r>
      <w:r>
        <w:t>n</w:t>
      </w:r>
      <w:r>
        <w:t xml:space="preserve"> im Labor- und/oder halbtechnischem Maßstab dringend empfohlen</w:t>
      </w:r>
      <w:r>
        <w:t>. Die</w:t>
      </w:r>
      <w:r>
        <w:t xml:space="preserve"> Anzahl der</w:t>
      </w:r>
      <w:r>
        <w:t xml:space="preserve"> erzielbaren </w:t>
      </w:r>
      <w:r>
        <w:t xml:space="preserve">durchgesetzten </w:t>
      </w:r>
      <w:r>
        <w:t xml:space="preserve">Bettvolumina bis zum Austausch bzw. </w:t>
      </w:r>
      <w:r>
        <w:t xml:space="preserve">zur </w:t>
      </w:r>
      <w:r>
        <w:t>Regenerierung der GAK ist stoffspezifisch festzulegen. Die zurzeit vorliegenden Er</w:t>
      </w:r>
      <w:r>
        <w:t>fahrungen deuten auf erzielbare</w:t>
      </w:r>
      <w:r>
        <w:t xml:space="preserve"> Bettvolumina von 3.000 bis ca. 15.000 hin.</w:t>
      </w:r>
    </w:p>
    <w:p w:rsidR="009622AC" w:rsidRDefault="00DD2E90" w:rsidP="00F8243C">
      <w:r>
        <w:t>Bei der Auswahl</w:t>
      </w:r>
      <w:r>
        <w:t xml:space="preserve"> der Kohle sind die spezifischen Eliminationsraten und die Betriebskosten für den regel</w:t>
      </w:r>
      <w:r>
        <w:t xml:space="preserve">mäßigen Austausch der Kohle </w:t>
      </w:r>
      <w:r>
        <w:t>wichtig</w:t>
      </w:r>
      <w:r>
        <w:t>e</w:t>
      </w:r>
      <w:r>
        <w:t xml:space="preserve"> Kriterien.</w:t>
      </w:r>
      <w:r>
        <w:t xml:space="preserve"> Es werden Kohlen mit verschiedenen Härtegraden angeboten. Insbesondere </w:t>
      </w:r>
      <w:r>
        <w:t xml:space="preserve">während der </w:t>
      </w:r>
      <w:r>
        <w:t xml:space="preserve">Luftspülung </w:t>
      </w:r>
      <w:r>
        <w:t xml:space="preserve">des Filters kann es zu </w:t>
      </w:r>
      <w:proofErr w:type="spellStart"/>
      <w:r>
        <w:t>Abr</w:t>
      </w:r>
      <w:r>
        <w:t>asionsverlusten</w:t>
      </w:r>
      <w:proofErr w:type="spellEnd"/>
      <w:r>
        <w:t xml:space="preserve"> der GAK kommen. </w:t>
      </w:r>
      <w:r w:rsidRPr="00FD414B">
        <w:t>Das Spülprogramm i</w:t>
      </w:r>
      <w:r>
        <w:t xml:space="preserve">st </w:t>
      </w:r>
      <w:r>
        <w:t xml:space="preserve">daher </w:t>
      </w:r>
      <w:r>
        <w:t>auf die GAK unter Beachtung der</w:t>
      </w:r>
      <w:r w:rsidRPr="00FD414B">
        <w:t xml:space="preserve"> </w:t>
      </w:r>
      <w:r>
        <w:t>Filterl</w:t>
      </w:r>
      <w:r w:rsidRPr="00FD414B">
        <w:t>aufzeit und dem zulässige</w:t>
      </w:r>
      <w:r>
        <w:t>m</w:t>
      </w:r>
      <w:r w:rsidRPr="00FD414B">
        <w:t xml:space="preserve"> Filterwiderstand abzustimmen.</w:t>
      </w:r>
      <w:r>
        <w:t xml:space="preserve"> Ein häufiges Rückspülen der Filter ist zu vermeiden.</w:t>
      </w:r>
      <w:r>
        <w:t xml:space="preserve"> </w:t>
      </w:r>
    </w:p>
    <w:p w:rsidR="00E8628A" w:rsidRDefault="00DD2E90" w:rsidP="00F8243C">
      <w:r>
        <w:t>Die GAK-Filtration sollte mit einer möglichst g</w:t>
      </w:r>
      <w:r>
        <w:t>eringen organischen Hintergrundbelastung des Abwassers</w:t>
      </w:r>
      <w:r>
        <w:t xml:space="preserve"> und Feststoffkonzentration</w:t>
      </w:r>
      <w:r>
        <w:t xml:space="preserve"> von unter 20 mg AFS/L</w:t>
      </w:r>
      <w:r>
        <w:t xml:space="preserve"> beschickt werden. Erforderlich ist eine gut funktionierende Nachklärung oder eine </w:t>
      </w:r>
      <w:r>
        <w:t>vorgeschaltete</w:t>
      </w:r>
      <w:r>
        <w:t xml:space="preserve"> Filtration, sodass Feststoffe vom GAK-Filter weitestgeh</w:t>
      </w:r>
      <w:r>
        <w:t>end zurückgehalten werden.</w:t>
      </w:r>
    </w:p>
    <w:p w:rsidR="00FD414B" w:rsidRPr="00FD414B" w:rsidRDefault="00DD2E90" w:rsidP="00F8243C">
      <w:r w:rsidRPr="00FD414B">
        <w:t xml:space="preserve">Zur Verlängerung der Aufenthaltszeit sollten möglichst alle </w:t>
      </w:r>
      <w:r>
        <w:t>GAK-</w:t>
      </w:r>
      <w:r w:rsidRPr="00FD414B">
        <w:t xml:space="preserve">Filter beschickt werden. Falls die GAK-Filter </w:t>
      </w:r>
      <w:r>
        <w:t xml:space="preserve">auch </w:t>
      </w:r>
      <w:r w:rsidRPr="00FD414B">
        <w:t xml:space="preserve">zum </w:t>
      </w:r>
      <w:proofErr w:type="spellStart"/>
      <w:r w:rsidRPr="00FD414B">
        <w:t>Suspens</w:t>
      </w:r>
      <w:r>
        <w:t>a</w:t>
      </w:r>
      <w:r w:rsidRPr="00FD414B">
        <w:t>rückhalt</w:t>
      </w:r>
      <w:proofErr w:type="spellEnd"/>
      <w:r w:rsidRPr="00FD414B">
        <w:t xml:space="preserve"> eingesetzt werden, ist die Mindestgeschwindigkeit für den Feststoffrückhalt zu beachten. </w:t>
      </w:r>
    </w:p>
    <w:p w:rsidR="00E8628A" w:rsidRDefault="00DD2E90" w:rsidP="00F8243C">
      <w:r w:rsidRPr="00FD414B">
        <w:t>Der</w:t>
      </w:r>
      <w:r w:rsidRPr="00FD414B">
        <w:t xml:space="preserve"> Austausch der GAK sollte </w:t>
      </w:r>
      <w:r w:rsidRPr="00FD414B">
        <w:t xml:space="preserve">jeweils </w:t>
      </w:r>
      <w:r w:rsidRPr="00FD414B">
        <w:t xml:space="preserve">für die am höchsten beladene Filterzelle in Abhängigkeit von einer festzulegenden </w:t>
      </w:r>
      <w:r>
        <w:t xml:space="preserve">Mischkonzentration </w:t>
      </w:r>
      <w:r w:rsidRPr="00FD414B">
        <w:t xml:space="preserve">ausgewählter </w:t>
      </w:r>
      <w:r>
        <w:t>Mikroschads</w:t>
      </w:r>
      <w:r w:rsidRPr="00FD414B">
        <w:t xml:space="preserve">toffe </w:t>
      </w:r>
      <w:r>
        <w:t xml:space="preserve">im Ablauf </w:t>
      </w:r>
      <w:r w:rsidRPr="00FD414B">
        <w:t>erfolgen.</w:t>
      </w:r>
      <w:r>
        <w:t xml:space="preserve"> Durch die Parallelschaltung unterschiedlich stark beladener </w:t>
      </w:r>
      <w:r>
        <w:t>Filter kann</w:t>
      </w:r>
      <w:r>
        <w:t xml:space="preserve"> die Anzahl der Bettvolumina erhöht und somit die Laufzeit bis zum Austausch der GAK verlängert werden.</w:t>
      </w:r>
    </w:p>
    <w:p w:rsidR="00B30DE6" w:rsidRDefault="00DD2E90" w:rsidP="00687424">
      <w:pPr>
        <w:pStyle w:val="berschrift2"/>
      </w:pPr>
      <w:bookmarkStart w:id="9" w:name="_Toc398024632"/>
      <w:r w:rsidRPr="00687424">
        <w:t>Hinweise zur Elimination von Mikroschadstoffen</w:t>
      </w:r>
      <w:r w:rsidRPr="00687424">
        <w:t xml:space="preserve"> und Energiebedarf</w:t>
      </w:r>
      <w:bookmarkEnd w:id="9"/>
    </w:p>
    <w:p w:rsidR="00687424" w:rsidRPr="00687424" w:rsidRDefault="00DD2E90" w:rsidP="00687424"/>
    <w:p w:rsidR="00DF0F1A" w:rsidRPr="00FD414B" w:rsidRDefault="00DD2E90" w:rsidP="00DF0F1A">
      <w:r w:rsidRPr="00B30DE6">
        <w:t xml:space="preserve">In der Planungsphase sind zur energieeffizienten Auslegung der </w:t>
      </w:r>
      <w:r>
        <w:t>A</w:t>
      </w:r>
      <w:r w:rsidRPr="00B30DE6">
        <w:t>nlage</w:t>
      </w:r>
      <w:r>
        <w:t xml:space="preserve"> </w:t>
      </w:r>
      <w:r w:rsidRPr="00B30DE6">
        <w:t>die zu behandeln</w:t>
      </w:r>
      <w:r w:rsidRPr="00B30DE6">
        <w:t xml:space="preserve">den Abwassermengen zu ermitteln und </w:t>
      </w:r>
      <w:r>
        <w:t>Vor</w:t>
      </w:r>
      <w:r w:rsidRPr="00B30DE6">
        <w:t>versuche durchzuführen.</w:t>
      </w:r>
      <w:r w:rsidRPr="00DF0F1A">
        <w:t xml:space="preserve"> </w:t>
      </w:r>
    </w:p>
    <w:p w:rsidR="0007775A" w:rsidRPr="00FE2CB3" w:rsidRDefault="00DD2E90" w:rsidP="00B30DE6">
      <w:pPr>
        <w:rPr>
          <w:rFonts w:cs="Arial"/>
          <w:color w:val="000000" w:themeColor="text1"/>
        </w:rPr>
      </w:pPr>
      <w:r w:rsidRPr="00B30DE6">
        <w:rPr>
          <w:rFonts w:cs="Arial"/>
          <w:color w:val="000000" w:themeColor="text1"/>
        </w:rPr>
        <w:lastRenderedPageBreak/>
        <w:t>Auf den Einsatz energieeffizienter Geräte</w:t>
      </w:r>
      <w:r>
        <w:rPr>
          <w:rFonts w:cs="Arial"/>
          <w:color w:val="000000" w:themeColor="text1"/>
        </w:rPr>
        <w:t xml:space="preserve"> z. B. zur Umwälzung</w:t>
      </w:r>
      <w:r>
        <w:rPr>
          <w:rFonts w:cs="Arial"/>
          <w:color w:val="000000" w:themeColor="text1"/>
        </w:rPr>
        <w:t xml:space="preserve"> von PAK-Kontaktbecken</w:t>
      </w:r>
      <w:r>
        <w:rPr>
          <w:rFonts w:cs="Arial"/>
          <w:color w:val="000000" w:themeColor="text1"/>
        </w:rPr>
        <w:t xml:space="preserve"> oder </w:t>
      </w:r>
      <w:r>
        <w:rPr>
          <w:rFonts w:cs="Arial"/>
          <w:color w:val="000000" w:themeColor="text1"/>
        </w:rPr>
        <w:t xml:space="preserve">zur </w:t>
      </w:r>
      <w:r>
        <w:rPr>
          <w:rFonts w:cs="Arial"/>
          <w:color w:val="000000" w:themeColor="text1"/>
        </w:rPr>
        <w:t>Ozonerzeugung</w:t>
      </w:r>
      <w:r w:rsidRPr="00B30DE6">
        <w:rPr>
          <w:rFonts w:cs="Arial"/>
          <w:color w:val="000000" w:themeColor="text1"/>
        </w:rPr>
        <w:t xml:space="preserve"> ist zu achten. </w:t>
      </w:r>
      <w:r>
        <w:rPr>
          <w:rFonts w:cs="Arial"/>
          <w:color w:val="000000" w:themeColor="text1"/>
        </w:rPr>
        <w:t xml:space="preserve">Moderne </w:t>
      </w:r>
      <w:r>
        <w:rPr>
          <w:rFonts w:cs="Arial"/>
          <w:color w:val="000000" w:themeColor="text1"/>
        </w:rPr>
        <w:t xml:space="preserve">Konverter zur </w:t>
      </w:r>
      <w:r>
        <w:rPr>
          <w:rFonts w:cs="Arial"/>
          <w:color w:val="000000" w:themeColor="text1"/>
        </w:rPr>
        <w:t xml:space="preserve">Ozonerzeuger </w:t>
      </w:r>
      <w:r>
        <w:rPr>
          <w:rFonts w:cs="Arial"/>
          <w:color w:val="000000" w:themeColor="text1"/>
        </w:rPr>
        <w:t xml:space="preserve">aus LOX </w:t>
      </w:r>
      <w:r>
        <w:rPr>
          <w:rFonts w:cs="Arial"/>
          <w:color w:val="000000" w:themeColor="text1"/>
        </w:rPr>
        <w:t>benötigen ca. 9 bis 10 kWh/</w:t>
      </w:r>
      <w:r>
        <w:rPr>
          <w:rFonts w:cs="Arial"/>
          <w:color w:val="000000" w:themeColor="text1"/>
        </w:rPr>
        <w:t>kg O</w:t>
      </w:r>
      <w:r>
        <w:rPr>
          <w:rFonts w:cs="Arial"/>
          <w:color w:val="000000" w:themeColor="text1"/>
          <w:vertAlign w:val="subscript"/>
        </w:rPr>
        <w:t>3.</w:t>
      </w:r>
      <w:r>
        <w:rPr>
          <w:rFonts w:cs="Arial"/>
          <w:color w:val="000000" w:themeColor="text1"/>
        </w:rPr>
        <w:t xml:space="preserve"> Hinzu kommen Nebenaggregate zur Kühlung, Steuerung und für den Ozoneintrag.</w:t>
      </w:r>
    </w:p>
    <w:p w:rsidR="00C44A7C" w:rsidRPr="00DF0F1A" w:rsidRDefault="00DD2E90" w:rsidP="00B30DE6">
      <w:r w:rsidRPr="00FD414B">
        <w:t>Der Energiebedarf der Anlage</w:t>
      </w:r>
      <w:r>
        <w:t>n</w:t>
      </w:r>
      <w:r w:rsidRPr="00FD414B">
        <w:t xml:space="preserve"> kann durch vorteilhaft</w:t>
      </w:r>
      <w:r>
        <w:t>e</w:t>
      </w:r>
      <w:r w:rsidRPr="00FD414B">
        <w:t xml:space="preserve"> Beckenform</w:t>
      </w:r>
      <w:r>
        <w:t>en</w:t>
      </w:r>
      <w:r w:rsidRPr="00FD414B">
        <w:t xml:space="preserve">, </w:t>
      </w:r>
      <w:r>
        <w:t xml:space="preserve">die </w:t>
      </w:r>
      <w:r w:rsidRPr="00FD414B">
        <w:t xml:space="preserve">ggf. </w:t>
      </w:r>
      <w:r>
        <w:t>u</w:t>
      </w:r>
      <w:r>
        <w:t>nterstützt durch</w:t>
      </w:r>
      <w:r>
        <w:t xml:space="preserve"> eine numerische</w:t>
      </w:r>
      <w:r w:rsidRPr="00FD414B">
        <w:t xml:space="preserve"> Strömungssimulation (CFD)</w:t>
      </w:r>
      <w:r>
        <w:t xml:space="preserve"> gestaltet wurde</w:t>
      </w:r>
      <w:r>
        <w:t>n</w:t>
      </w:r>
      <w:r w:rsidRPr="00FD414B">
        <w:t xml:space="preserve">, verringert werden. Es ist auf eine hydraulisch günstige Einbindung der </w:t>
      </w:r>
      <w:r>
        <w:t>A</w:t>
      </w:r>
      <w:r w:rsidRPr="00FD414B">
        <w:t>nlage</w:t>
      </w:r>
      <w:r>
        <w:t xml:space="preserve"> zur Mikroschadstoffelimination</w:t>
      </w:r>
      <w:r w:rsidRPr="00FD414B">
        <w:t xml:space="preserve"> in den Wasserweg der Kläranlage zu achten. </w:t>
      </w:r>
    </w:p>
    <w:p w:rsidR="00B30DE6" w:rsidRPr="00B30DE6" w:rsidRDefault="00DD2E90" w:rsidP="00C44A7C">
      <w:r>
        <w:t>Zusätzliche Messtechnik kann</w:t>
      </w:r>
      <w:r>
        <w:t xml:space="preserve"> durch eine </w:t>
      </w:r>
      <w:r w:rsidRPr="00B30DE6">
        <w:t xml:space="preserve">optimierte Steuerung </w:t>
      </w:r>
      <w:r>
        <w:t>der Dosieru</w:t>
      </w:r>
      <w:r>
        <w:t xml:space="preserve">ng der Betriebsmittel Ozon, </w:t>
      </w:r>
      <w:r>
        <w:t>PAK</w:t>
      </w:r>
      <w:r>
        <w:t>, Fällmittel</w:t>
      </w:r>
      <w:r>
        <w:t xml:space="preserve"> oder dem Austausch der GAK</w:t>
      </w:r>
      <w:r w:rsidRPr="00B30DE6">
        <w:t xml:space="preserve"> zu einer Reduzierung des Energiebedarfs</w:t>
      </w:r>
      <w:r>
        <w:t xml:space="preserve"> bzw. der Betriebskosten</w:t>
      </w:r>
      <w:r w:rsidRPr="00B30DE6">
        <w:t xml:space="preserve"> führen. </w:t>
      </w:r>
    </w:p>
    <w:p w:rsidR="00B30DE6" w:rsidRDefault="00DD2E90" w:rsidP="00B30DE6">
      <w:r w:rsidRPr="00B30DE6">
        <w:rPr>
          <w:rFonts w:cs="Arial"/>
          <w:color w:val="000000" w:themeColor="text1"/>
        </w:rPr>
        <w:t xml:space="preserve">Während der Inbetriebnahme und im späteren Betrieb </w:t>
      </w:r>
      <w:r>
        <w:rPr>
          <w:rFonts w:cs="Arial"/>
          <w:color w:val="000000" w:themeColor="text1"/>
        </w:rPr>
        <w:t>ist</w:t>
      </w:r>
      <w:r w:rsidRPr="00B30DE6">
        <w:rPr>
          <w:rFonts w:cs="Arial"/>
          <w:color w:val="000000" w:themeColor="text1"/>
        </w:rPr>
        <w:t xml:space="preserve"> die Steuerung</w:t>
      </w:r>
      <w:r>
        <w:rPr>
          <w:rFonts w:cs="Arial"/>
          <w:color w:val="000000" w:themeColor="text1"/>
        </w:rPr>
        <w:t xml:space="preserve"> der Betriebsmitteldosierung</w:t>
      </w:r>
      <w:r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bzw. der</w:t>
      </w:r>
      <w:r>
        <w:rPr>
          <w:rFonts w:cs="Arial"/>
          <w:color w:val="000000" w:themeColor="text1"/>
        </w:rPr>
        <w:t xml:space="preserve"> Austausch der GAK</w:t>
      </w:r>
      <w:r w:rsidRPr="00B30DE6">
        <w:rPr>
          <w:rFonts w:cs="Arial"/>
          <w:color w:val="000000" w:themeColor="text1"/>
        </w:rPr>
        <w:t xml:space="preserve"> durch </w:t>
      </w:r>
      <w:r>
        <w:rPr>
          <w:rFonts w:cs="Arial"/>
          <w:color w:val="000000" w:themeColor="text1"/>
        </w:rPr>
        <w:t xml:space="preserve">eine </w:t>
      </w:r>
      <w:r w:rsidRPr="00B30DE6">
        <w:rPr>
          <w:rFonts w:cs="Arial"/>
          <w:color w:val="000000" w:themeColor="text1"/>
        </w:rPr>
        <w:t>begle</w:t>
      </w:r>
      <w:r w:rsidRPr="00B30DE6">
        <w:rPr>
          <w:rFonts w:cs="Arial"/>
          <w:color w:val="000000" w:themeColor="text1"/>
        </w:rPr>
        <w:t xml:space="preserve">itende Prozessanalytik im Hinblick auf eine zielgerichtete Mikroschadstoffelimination </w:t>
      </w:r>
      <w:r>
        <w:rPr>
          <w:rFonts w:cs="Arial"/>
          <w:color w:val="000000" w:themeColor="text1"/>
        </w:rPr>
        <w:t xml:space="preserve">zu </w:t>
      </w:r>
      <w:r w:rsidRPr="00B30DE6">
        <w:rPr>
          <w:rFonts w:cs="Arial"/>
          <w:color w:val="000000" w:themeColor="text1"/>
        </w:rPr>
        <w:t>optimier</w:t>
      </w:r>
      <w:r>
        <w:rPr>
          <w:rFonts w:cs="Arial"/>
          <w:color w:val="000000" w:themeColor="text1"/>
        </w:rPr>
        <w:t>en</w:t>
      </w:r>
      <w:r w:rsidRPr="00B30DE6">
        <w:rPr>
          <w:rFonts w:cs="Arial"/>
          <w:color w:val="000000" w:themeColor="text1"/>
        </w:rPr>
        <w:t>. Hierbei sollte eine Fokussierung auf wenige Leitparameter erfolgen</w:t>
      </w:r>
      <w:r>
        <w:rPr>
          <w:rFonts w:cs="Arial"/>
          <w:color w:val="000000" w:themeColor="text1"/>
        </w:rPr>
        <w:t xml:space="preserve"> oder </w:t>
      </w:r>
      <w:r w:rsidRPr="00B30DE6">
        <w:rPr>
          <w:rFonts w:cs="Arial"/>
          <w:color w:val="000000" w:themeColor="text1"/>
        </w:rPr>
        <w:t>wirkungsbezogene Testsysteme eingesetzt werden.</w:t>
      </w:r>
    </w:p>
    <w:p w:rsidR="00B30DE6" w:rsidRPr="00715C65" w:rsidRDefault="00DD2E90" w:rsidP="00715C65">
      <w:r>
        <w:rPr>
          <w:rFonts w:cs="Arial"/>
        </w:rPr>
        <w:t>I</w:t>
      </w:r>
      <w:r>
        <w:rPr>
          <w:rFonts w:cs="Arial"/>
        </w:rPr>
        <w:t>m</w:t>
      </w:r>
      <w:r>
        <w:rPr>
          <w:rFonts w:cs="Arial"/>
        </w:rPr>
        <w:t xml:space="preserve"> Rahmen der Inbetriebnahme ist di</w:t>
      </w:r>
      <w:r>
        <w:rPr>
          <w:rFonts w:cs="Arial"/>
        </w:rPr>
        <w:t>e Genauigkeit der installierten Messtechnik und Dosiereinrichtungen zu prüfen. Es sollte ein Monitoring ausgewählter Mikroschadstoffe im Zu- und Ablauf der Anlage zur Mikroschadstoffelimination erfolgen. Die Parameter sind mit der zuständigen Bezirksregier</w:t>
      </w:r>
      <w:r>
        <w:rPr>
          <w:rFonts w:cs="Arial"/>
        </w:rPr>
        <w:t>ung abzustimmen. Die Eliminationsleistung ist stark stoffspezifisch. Feste Vorgaben zu Parametern und deren Elimination bestehen in der Regel nicht. Orientierung</w:t>
      </w:r>
      <w:r>
        <w:rPr>
          <w:rFonts w:cs="Arial"/>
        </w:rPr>
        <w:t xml:space="preserve"> zur erzielbaren Elimination von Mikroschadstoffen</w:t>
      </w:r>
      <w:r>
        <w:rPr>
          <w:rFonts w:cs="Arial"/>
        </w:rPr>
        <w:t xml:space="preserve"> </w:t>
      </w:r>
      <w:r>
        <w:rPr>
          <w:rFonts w:cs="Arial"/>
        </w:rPr>
        <w:t xml:space="preserve">bei verschiedenen Ozondosen oder Mengen der </w:t>
      </w:r>
      <w:r>
        <w:rPr>
          <w:rFonts w:cs="Arial"/>
        </w:rPr>
        <w:t>eingesetzten Aktivkohle können aus</w:t>
      </w:r>
      <w:r>
        <w:rPr>
          <w:rFonts w:cs="Arial"/>
        </w:rPr>
        <w:t xml:space="preserve"> bisherige</w:t>
      </w:r>
      <w:r>
        <w:rPr>
          <w:rFonts w:cs="Arial"/>
        </w:rPr>
        <w:t>n</w:t>
      </w:r>
      <w:r>
        <w:rPr>
          <w:rFonts w:cs="Arial"/>
        </w:rPr>
        <w:t xml:space="preserve"> </w:t>
      </w:r>
      <w:r>
        <w:rPr>
          <w:rFonts w:cs="Arial"/>
        </w:rPr>
        <w:t>Forschungsergebnissen entnommen werden.</w:t>
      </w:r>
      <w:r>
        <w:t xml:space="preserve"> </w:t>
      </w:r>
      <w:r w:rsidRPr="00FD414B">
        <w:rPr>
          <w:rFonts w:cs="Arial"/>
        </w:rPr>
        <w:t>Die Untersuchung weiterer Aktivkohlen kann ggf. eine Reduzierung der Betriebskosten ermöglichen.</w:t>
      </w:r>
    </w:p>
    <w:p w:rsidR="00F46D28" w:rsidRPr="004B3E1F" w:rsidRDefault="00DD2E90" w:rsidP="00687424">
      <w:pPr>
        <w:pStyle w:val="berschrift1"/>
        <w:rPr>
          <w:rFonts w:ascii="Arial" w:hAnsi="Arial" w:cs="Arial"/>
        </w:rPr>
      </w:pPr>
      <w:bookmarkStart w:id="10" w:name="_Toc398024633"/>
      <w:r w:rsidRPr="004B3E1F">
        <w:rPr>
          <w:rFonts w:ascii="Arial" w:hAnsi="Arial" w:cs="Arial"/>
        </w:rPr>
        <w:t>Fazit</w:t>
      </w:r>
      <w:bookmarkEnd w:id="10"/>
    </w:p>
    <w:p w:rsidR="004B3E1F" w:rsidRDefault="00DD2E90" w:rsidP="007164F1">
      <w:pPr>
        <w:rPr>
          <w:noProof/>
        </w:rPr>
      </w:pPr>
    </w:p>
    <w:p w:rsidR="00E811FB" w:rsidRDefault="00DD2E90" w:rsidP="007164F1">
      <w:pPr>
        <w:rPr>
          <w:noProof/>
        </w:rPr>
      </w:pPr>
      <w:r>
        <w:rPr>
          <w:noProof/>
        </w:rPr>
        <w:t xml:space="preserve">Eine effiziente Verringerung der Mikroschadstoffemission in </w:t>
      </w:r>
      <w:r>
        <w:rPr>
          <w:noProof/>
        </w:rPr>
        <w:t xml:space="preserve">ein </w:t>
      </w:r>
      <w:r>
        <w:rPr>
          <w:noProof/>
        </w:rPr>
        <w:t>Ge</w:t>
      </w:r>
      <w:r>
        <w:rPr>
          <w:noProof/>
        </w:rPr>
        <w:t xml:space="preserve">wässer beginnt mit einem verantwortungsbewussten Umgang mit diesen Stoffen. </w:t>
      </w:r>
      <w:r>
        <w:rPr>
          <w:noProof/>
        </w:rPr>
        <w:t>Es ist</w:t>
      </w:r>
      <w:r>
        <w:rPr>
          <w:noProof/>
        </w:rPr>
        <w:t xml:space="preserve"> aber </w:t>
      </w:r>
      <w:r>
        <w:rPr>
          <w:noProof/>
        </w:rPr>
        <w:t>auch zukünftig unvermeidbar</w:t>
      </w:r>
      <w:r>
        <w:rPr>
          <w:noProof/>
        </w:rPr>
        <w:t>, dass Mikroschadstoffe in den Wasserkreislauf gelangen</w:t>
      </w:r>
      <w:r>
        <w:rPr>
          <w:noProof/>
        </w:rPr>
        <w:t>,</w:t>
      </w:r>
      <w:r>
        <w:rPr>
          <w:noProof/>
        </w:rPr>
        <w:t xml:space="preserve"> die nicht in </w:t>
      </w:r>
      <w:r>
        <w:rPr>
          <w:noProof/>
        </w:rPr>
        <w:t>konventionellen Kläranlagen vollständig abgebaut werden.</w:t>
      </w:r>
    </w:p>
    <w:p w:rsidR="007000BD" w:rsidRDefault="00DD2E90" w:rsidP="00687424">
      <w:pPr>
        <w:pStyle w:val="berschrift2"/>
      </w:pPr>
      <w:bookmarkStart w:id="11" w:name="_Toc398024634"/>
      <w:r w:rsidRPr="00687424">
        <w:t>Vorbehandlung</w:t>
      </w:r>
      <w:bookmarkEnd w:id="11"/>
    </w:p>
    <w:p w:rsidR="00687424" w:rsidRPr="00687424" w:rsidRDefault="00DD2E90" w:rsidP="00687424"/>
    <w:p w:rsidR="002A0DE4" w:rsidRDefault="00DD2E90" w:rsidP="007164F1">
      <w:pPr>
        <w:rPr>
          <w:noProof/>
        </w:rPr>
      </w:pPr>
      <w:r>
        <w:rPr>
          <w:noProof/>
        </w:rPr>
        <w:t>Eine Stufe zur Mikroschadstoffelimination auf Kläranlagen stellt die letzte Stufe vor de</w:t>
      </w:r>
      <w:r>
        <w:rPr>
          <w:noProof/>
        </w:rPr>
        <w:t>r Einleitung in ein</w:t>
      </w:r>
      <w:r>
        <w:rPr>
          <w:noProof/>
        </w:rPr>
        <w:t xml:space="preserve"> Gewässer daher. </w:t>
      </w:r>
      <w:r>
        <w:rPr>
          <w:noProof/>
        </w:rPr>
        <w:t>Eine effiziente Elimination der Mikroschafstoffe in Ozon- und Aktivkohleanlagen setzt die weitestgehende Behandlung in der biologis</w:t>
      </w:r>
      <w:r>
        <w:rPr>
          <w:noProof/>
        </w:rPr>
        <w:t xml:space="preserve">chen Stufe voraus. Insbesondere eine hohe AFS-Fracht führt zu einem vermeidbar hohen Einsatz an Ozon und Aktivkohle. Eine gut funktionierende Nachklärung bzw. ihre </w:t>
      </w:r>
      <w:r>
        <w:rPr>
          <w:noProof/>
        </w:rPr>
        <w:lastRenderedPageBreak/>
        <w:t xml:space="preserve">klärtechnische Ertüchtigung ist daher Grundvoraussetzung für den sparsamen Einsatz von Ozon </w:t>
      </w:r>
      <w:r>
        <w:rPr>
          <w:noProof/>
        </w:rPr>
        <w:t>oder Aktivkohle.</w:t>
      </w:r>
    </w:p>
    <w:p w:rsidR="00EA0948" w:rsidRDefault="00DD2E90" w:rsidP="00687424">
      <w:pPr>
        <w:pStyle w:val="berschrift2"/>
      </w:pPr>
      <w:bookmarkStart w:id="12" w:name="_Toc398024635"/>
      <w:r w:rsidRPr="00687424">
        <w:t>Ozonanlagen</w:t>
      </w:r>
      <w:bookmarkEnd w:id="12"/>
    </w:p>
    <w:p w:rsidR="00687424" w:rsidRPr="00687424" w:rsidRDefault="00DD2E90" w:rsidP="00687424"/>
    <w:p w:rsidR="00925925" w:rsidRDefault="00DD2E90" w:rsidP="007164F1">
      <w:pPr>
        <w:rPr>
          <w:noProof/>
        </w:rPr>
      </w:pPr>
      <w:r>
        <w:rPr>
          <w:noProof/>
        </w:rPr>
        <w:t xml:space="preserve">Die Angaben der </w:t>
      </w:r>
      <w:r>
        <w:rPr>
          <w:noProof/>
        </w:rPr>
        <w:t>Planer</w:t>
      </w:r>
      <w:r>
        <w:rPr>
          <w:noProof/>
        </w:rPr>
        <w:t xml:space="preserve"> zur Auslegung einer Ozonanlage sind insgesamt in weiten Teile</w:t>
      </w:r>
      <w:r>
        <w:rPr>
          <w:noProof/>
        </w:rPr>
        <w:t>n</w:t>
      </w:r>
      <w:r>
        <w:rPr>
          <w:noProof/>
        </w:rPr>
        <w:t xml:space="preserve"> vergleichbar. In den wesentlichen Festlegungen zur Auslegung der Ozonerzeugung und des Reaktorbeckens gibt es keine größen Differenzen.</w:t>
      </w:r>
    </w:p>
    <w:p w:rsidR="0073510B" w:rsidRDefault="00DD2E90" w:rsidP="007164F1">
      <w:pPr>
        <w:rPr>
          <w:noProof/>
        </w:rPr>
      </w:pPr>
      <w:r>
        <w:rPr>
          <w:noProof/>
        </w:rPr>
        <w:t xml:space="preserve">Die </w:t>
      </w:r>
      <w:r w:rsidRPr="00BC0152">
        <w:rPr>
          <w:b/>
          <w:noProof/>
        </w:rPr>
        <w:t>Auslegung der Ozonerzeugung und des Ozoneintrags</w:t>
      </w:r>
      <w:r>
        <w:rPr>
          <w:noProof/>
        </w:rPr>
        <w:t xml:space="preserve"> erfolgt auf Grundlage der festzulegenden spezifischen Ozonzehrung</w:t>
      </w:r>
      <w:r>
        <w:rPr>
          <w:noProof/>
        </w:rPr>
        <w:t>, die</w:t>
      </w:r>
      <w:r>
        <w:rPr>
          <w:noProof/>
        </w:rPr>
        <w:t xml:space="preserve"> nach Ang</w:t>
      </w:r>
      <w:r>
        <w:rPr>
          <w:noProof/>
        </w:rPr>
        <w:t xml:space="preserve">abe der </w:t>
      </w:r>
      <w:r>
        <w:rPr>
          <w:noProof/>
        </w:rPr>
        <w:t>Planer</w:t>
      </w:r>
      <w:r>
        <w:rPr>
          <w:noProof/>
        </w:rPr>
        <w:t xml:space="preserve"> zwischen </w:t>
      </w:r>
      <w:r w:rsidRPr="00BC0152">
        <w:rPr>
          <w:b/>
          <w:noProof/>
        </w:rPr>
        <w:t>0,6 bis 1,0 gO</w:t>
      </w:r>
      <w:r w:rsidRPr="00BC0152">
        <w:rPr>
          <w:b/>
          <w:noProof/>
          <w:vertAlign w:val="subscript"/>
        </w:rPr>
        <w:t>3</w:t>
      </w:r>
      <w:r w:rsidRPr="00BC0152">
        <w:rPr>
          <w:b/>
          <w:noProof/>
        </w:rPr>
        <w:t>/gDOC</w:t>
      </w:r>
      <w:r>
        <w:rPr>
          <w:noProof/>
        </w:rPr>
        <w:t xml:space="preserve"> liegen sollte. </w:t>
      </w:r>
      <w:r>
        <w:rPr>
          <w:noProof/>
        </w:rPr>
        <w:t>Für die Auslegu</w:t>
      </w:r>
      <w:r>
        <w:rPr>
          <w:noProof/>
        </w:rPr>
        <w:t>ng</w:t>
      </w:r>
      <w:r>
        <w:rPr>
          <w:noProof/>
        </w:rPr>
        <w:t xml:space="preserve"> einer Ozonanlage ist die zu behandelnde Zulaufwass</w:t>
      </w:r>
      <w:r>
        <w:rPr>
          <w:noProof/>
        </w:rPr>
        <w:t>ermenge festzulegen. Zur Ab</w:t>
      </w:r>
      <w:r>
        <w:rPr>
          <w:noProof/>
        </w:rPr>
        <w:t>leitung der erforderlichen Kont</w:t>
      </w:r>
      <w:r>
        <w:rPr>
          <w:noProof/>
        </w:rPr>
        <w:t xml:space="preserve">akzeit werden Ozonzehrungsversuche empfohlen. </w:t>
      </w:r>
      <w:r>
        <w:rPr>
          <w:noProof/>
        </w:rPr>
        <w:t>Bei der Festlegung des Reaktorvolumens und -designs ist die tatsächliche Aufenthaltszeit des Wassers im Reaktor bei der Volumenfestlegung und Wahl der K</w:t>
      </w:r>
      <w:r>
        <w:rPr>
          <w:noProof/>
        </w:rPr>
        <w:t xml:space="preserve">askadierung und den Einbau von Leitwänden zu berücksichtigen. Die Wahl des Ozoneintragssystems hat ebenfalls </w:t>
      </w:r>
      <w:r>
        <w:rPr>
          <w:noProof/>
        </w:rPr>
        <w:t>Einfluss auf das Design.</w:t>
      </w:r>
    </w:p>
    <w:p w:rsidR="002813E8" w:rsidRDefault="00DD2E90" w:rsidP="007164F1">
      <w:pPr>
        <w:rPr>
          <w:noProof/>
        </w:rPr>
      </w:pPr>
      <w:r>
        <w:rPr>
          <w:noProof/>
        </w:rPr>
        <w:t xml:space="preserve">Die </w:t>
      </w:r>
      <w:r w:rsidRPr="00BC0152">
        <w:rPr>
          <w:b/>
          <w:noProof/>
        </w:rPr>
        <w:t>zulaufmengenproportionale Ozondosierung</w:t>
      </w:r>
      <w:r>
        <w:rPr>
          <w:noProof/>
        </w:rPr>
        <w:t xml:space="preserve"> ist eine einfach umsetzbare und robuste Steuerungsmethode</w:t>
      </w:r>
      <w:r>
        <w:rPr>
          <w:noProof/>
        </w:rPr>
        <w:t xml:space="preserve"> für kleiner</w:t>
      </w:r>
      <w:r>
        <w:rPr>
          <w:noProof/>
        </w:rPr>
        <w:t>e</w:t>
      </w:r>
      <w:r>
        <w:rPr>
          <w:noProof/>
        </w:rPr>
        <w:t xml:space="preserve"> Anlagen</w:t>
      </w:r>
      <w:r>
        <w:rPr>
          <w:noProof/>
        </w:rPr>
        <w:t xml:space="preserve"> &lt; 100.000 EW</w:t>
      </w:r>
      <w:r>
        <w:rPr>
          <w:noProof/>
        </w:rPr>
        <w:t xml:space="preserve">. </w:t>
      </w:r>
      <w:r>
        <w:rPr>
          <w:noProof/>
        </w:rPr>
        <w:t xml:space="preserve">Für die Messtechnik zur </w:t>
      </w:r>
      <w:r>
        <w:rPr>
          <w:noProof/>
        </w:rPr>
        <w:t>Optimierung der</w:t>
      </w:r>
      <w:r>
        <w:rPr>
          <w:noProof/>
        </w:rPr>
        <w:t xml:space="preserve"> Steuerung- bzw. Regelung des Ozoneintrags </w:t>
      </w:r>
      <w:r>
        <w:rPr>
          <w:noProof/>
        </w:rPr>
        <w:t>unter</w:t>
      </w:r>
      <w:r>
        <w:rPr>
          <w:noProof/>
        </w:rPr>
        <w:t xml:space="preserve"> Berücksichtigung </w:t>
      </w:r>
      <w:r>
        <w:rPr>
          <w:noProof/>
        </w:rPr>
        <w:t>des schwankenden Zehrungspotenzials der Abwassermatrix</w:t>
      </w:r>
      <w:r>
        <w:rPr>
          <w:noProof/>
        </w:rPr>
        <w:t xml:space="preserve"> </w:t>
      </w:r>
      <w:r>
        <w:rPr>
          <w:noProof/>
        </w:rPr>
        <w:t xml:space="preserve">werden verschiedene Messtechniken genannt. Insgesamt kann </w:t>
      </w:r>
      <w:r w:rsidRPr="00BC0152">
        <w:rPr>
          <w:b/>
          <w:noProof/>
        </w:rPr>
        <w:t xml:space="preserve">keine allgemeingültige </w:t>
      </w:r>
      <w:r w:rsidRPr="00BC0152">
        <w:rPr>
          <w:b/>
          <w:noProof/>
        </w:rPr>
        <w:t>Empfehlung für ein optimiertes Steuer-/Regelkonzept</w:t>
      </w:r>
      <w:r>
        <w:rPr>
          <w:noProof/>
        </w:rPr>
        <w:t xml:space="preserve"> gegeben werden</w:t>
      </w:r>
      <w:r>
        <w:rPr>
          <w:noProof/>
        </w:rPr>
        <w:t>. Innovative Konzepte sollten zur Entwicklung der Technik weiterhin erprobt werden.</w:t>
      </w:r>
    </w:p>
    <w:p w:rsidR="006B4BFB" w:rsidRDefault="00DD2E90" w:rsidP="007164F1">
      <w:pPr>
        <w:rPr>
          <w:noProof/>
        </w:rPr>
      </w:pPr>
      <w:r>
        <w:rPr>
          <w:noProof/>
        </w:rPr>
        <w:t xml:space="preserve">Der </w:t>
      </w:r>
      <w:r>
        <w:rPr>
          <w:noProof/>
        </w:rPr>
        <w:t>Kenntisstand zur biologischen Nachbehandlung</w:t>
      </w:r>
      <w:r>
        <w:rPr>
          <w:noProof/>
        </w:rPr>
        <w:t xml:space="preserve"> bzw. entstehen</w:t>
      </w:r>
      <w:r>
        <w:rPr>
          <w:noProof/>
        </w:rPr>
        <w:t>den</w:t>
      </w:r>
      <w:r>
        <w:rPr>
          <w:noProof/>
        </w:rPr>
        <w:t xml:space="preserve"> toxikologisch wirksamer Konzentrationen</w:t>
      </w:r>
      <w:r>
        <w:rPr>
          <w:noProof/>
        </w:rPr>
        <w:t xml:space="preserve"> an Transformationsprodukte</w:t>
      </w:r>
      <w:r>
        <w:rPr>
          <w:noProof/>
        </w:rPr>
        <w:t xml:space="preserve"> ist gering.</w:t>
      </w:r>
      <w:r>
        <w:rPr>
          <w:noProof/>
        </w:rPr>
        <w:t xml:space="preserve"> Von Seiten der </w:t>
      </w:r>
      <w:r>
        <w:rPr>
          <w:noProof/>
        </w:rPr>
        <w:t>Planer</w:t>
      </w:r>
      <w:r>
        <w:rPr>
          <w:noProof/>
        </w:rPr>
        <w:t xml:space="preserve"> wird eine </w:t>
      </w:r>
      <w:r w:rsidRPr="00BC0152">
        <w:rPr>
          <w:b/>
          <w:noProof/>
        </w:rPr>
        <w:t xml:space="preserve">biologische </w:t>
      </w:r>
      <w:r w:rsidRPr="00BC0152">
        <w:rPr>
          <w:b/>
          <w:noProof/>
        </w:rPr>
        <w:t>Nachbehandlung</w:t>
      </w:r>
      <w:r>
        <w:rPr>
          <w:noProof/>
        </w:rPr>
        <w:t xml:space="preserve"> </w:t>
      </w:r>
      <w:r>
        <w:rPr>
          <w:noProof/>
        </w:rPr>
        <w:t xml:space="preserve">zurzeit </w:t>
      </w:r>
      <w:r>
        <w:rPr>
          <w:noProof/>
        </w:rPr>
        <w:t xml:space="preserve">grundsätzlich als </w:t>
      </w:r>
      <w:r w:rsidRPr="00BC0152">
        <w:rPr>
          <w:b/>
          <w:noProof/>
        </w:rPr>
        <w:t>erforderlich</w:t>
      </w:r>
      <w:r>
        <w:rPr>
          <w:noProof/>
        </w:rPr>
        <w:t xml:space="preserve"> erachtet. </w:t>
      </w:r>
      <w:r w:rsidRPr="00925925">
        <w:rPr>
          <w:noProof/>
        </w:rPr>
        <w:t xml:space="preserve">Neben der Nutzung von vorhandenen Raumfilteranlagen oder Schönungsteichen </w:t>
      </w:r>
      <w:r>
        <w:rPr>
          <w:noProof/>
        </w:rPr>
        <w:t>wird</w:t>
      </w:r>
      <w:r w:rsidRPr="00925925">
        <w:rPr>
          <w:noProof/>
        </w:rPr>
        <w:t xml:space="preserve"> der Einsatz von Wirbel- und Festbettreaktoren </w:t>
      </w:r>
      <w:r>
        <w:rPr>
          <w:noProof/>
        </w:rPr>
        <w:t>genannt</w:t>
      </w:r>
      <w:r w:rsidRPr="00925925">
        <w:rPr>
          <w:noProof/>
        </w:rPr>
        <w:t>.</w:t>
      </w:r>
    </w:p>
    <w:p w:rsidR="00715C65" w:rsidRDefault="00DD2E90" w:rsidP="007164F1">
      <w:pPr>
        <w:rPr>
          <w:noProof/>
        </w:rPr>
      </w:pPr>
    </w:p>
    <w:p w:rsidR="00E54570" w:rsidRDefault="00DD2E90" w:rsidP="00687424">
      <w:pPr>
        <w:pStyle w:val="berschrift2"/>
      </w:pPr>
      <w:bookmarkStart w:id="13" w:name="_Toc398024636"/>
      <w:r w:rsidRPr="00687424">
        <w:t>PAK-Anlagen</w:t>
      </w:r>
      <w:bookmarkEnd w:id="13"/>
    </w:p>
    <w:p w:rsidR="00687424" w:rsidRPr="00687424" w:rsidRDefault="00DD2E90" w:rsidP="00687424"/>
    <w:p w:rsidR="004F6135" w:rsidRDefault="00DD2E90" w:rsidP="007164F1">
      <w:pPr>
        <w:rPr>
          <w:rFonts w:cs="Arial"/>
        </w:rPr>
      </w:pPr>
      <w:r>
        <w:rPr>
          <w:rFonts w:cs="Arial"/>
        </w:rPr>
        <w:t xml:space="preserve">Die übliche Spannweite der </w:t>
      </w:r>
      <w:r w:rsidRPr="00BC0152">
        <w:rPr>
          <w:rFonts w:cs="Arial"/>
          <w:b/>
        </w:rPr>
        <w:t>PAK-Dosierung</w:t>
      </w:r>
      <w:r>
        <w:rPr>
          <w:rFonts w:cs="Arial"/>
        </w:rPr>
        <w:t xml:space="preserve"> wird von den </w:t>
      </w:r>
      <w:r>
        <w:rPr>
          <w:rFonts w:cs="Arial"/>
        </w:rPr>
        <w:t>Planern</w:t>
      </w:r>
      <w:r>
        <w:rPr>
          <w:rFonts w:cs="Arial"/>
        </w:rPr>
        <w:t xml:space="preserve"> </w:t>
      </w:r>
      <w:r w:rsidRPr="00BC0152">
        <w:rPr>
          <w:rFonts w:cs="Arial"/>
          <w:b/>
        </w:rPr>
        <w:t>zwischen 10 und 20 mg/L PAK</w:t>
      </w:r>
      <w:r>
        <w:rPr>
          <w:rFonts w:cs="Arial"/>
        </w:rPr>
        <w:t xml:space="preserve"> angegeben. Neben der </w:t>
      </w:r>
      <w:proofErr w:type="spellStart"/>
      <w:r>
        <w:rPr>
          <w:rFonts w:cs="Arial"/>
        </w:rPr>
        <w:t>Kohleart</w:t>
      </w:r>
      <w:proofErr w:type="spellEnd"/>
      <w:r>
        <w:rPr>
          <w:rFonts w:cs="Arial"/>
        </w:rPr>
        <w:t xml:space="preserve"> spielen eine ggf. vorgesehene Rückführung der Kohle und der Dosier</w:t>
      </w:r>
      <w:r>
        <w:rPr>
          <w:rFonts w:cs="Arial"/>
        </w:rPr>
        <w:t>ort eine Rolle i</w:t>
      </w:r>
      <w:r>
        <w:rPr>
          <w:rFonts w:cs="Arial"/>
        </w:rPr>
        <w:t>m</w:t>
      </w:r>
      <w:r>
        <w:rPr>
          <w:rFonts w:cs="Arial"/>
        </w:rPr>
        <w:t xml:space="preserve"> Hinblick auf die erforderliche PAK-Dosierung.</w:t>
      </w:r>
    </w:p>
    <w:p w:rsidR="004F6135" w:rsidRDefault="00DD2E90" w:rsidP="007164F1">
      <w:pPr>
        <w:rPr>
          <w:rFonts w:cs="Arial"/>
        </w:rPr>
      </w:pPr>
      <w:r>
        <w:rPr>
          <w:rFonts w:cs="Arial"/>
        </w:rPr>
        <w:t xml:space="preserve">Die </w:t>
      </w:r>
      <w:r w:rsidRPr="00BC0152">
        <w:rPr>
          <w:rFonts w:cs="Arial"/>
          <w:b/>
        </w:rPr>
        <w:t>Aufenthaltszeit im Kontaktbecken</w:t>
      </w:r>
      <w:r>
        <w:rPr>
          <w:rFonts w:cs="Arial"/>
        </w:rPr>
        <w:t xml:space="preserve"> sollte in der Regel </w:t>
      </w:r>
      <w:r w:rsidRPr="00BC0152">
        <w:rPr>
          <w:rFonts w:cs="Arial"/>
          <w:b/>
        </w:rPr>
        <w:t>mindestens 30 min</w:t>
      </w:r>
      <w:r>
        <w:rPr>
          <w:rFonts w:cs="Arial"/>
        </w:rPr>
        <w:t xml:space="preserve"> betragen. Eine kürzere Kontaktzeit ist ggf. </w:t>
      </w:r>
      <w:r>
        <w:rPr>
          <w:rFonts w:cs="Arial"/>
        </w:rPr>
        <w:t xml:space="preserve">unter </w:t>
      </w:r>
      <w:r>
        <w:rPr>
          <w:rFonts w:cs="Arial"/>
        </w:rPr>
        <w:t>Beachtung der</w:t>
      </w:r>
      <w:r>
        <w:rPr>
          <w:rFonts w:cs="Arial"/>
        </w:rPr>
        <w:t xml:space="preserve"> Adsorptionskinetik der zu </w:t>
      </w:r>
      <w:proofErr w:type="spellStart"/>
      <w:r>
        <w:rPr>
          <w:rFonts w:cs="Arial"/>
        </w:rPr>
        <w:t>sorbierenden</w:t>
      </w:r>
      <w:proofErr w:type="spellEnd"/>
      <w:r>
        <w:rPr>
          <w:rFonts w:cs="Arial"/>
        </w:rPr>
        <w:t xml:space="preserve"> Stoffe </w:t>
      </w:r>
      <w:r>
        <w:rPr>
          <w:rFonts w:cs="Arial"/>
        </w:rPr>
        <w:t>möglich</w:t>
      </w:r>
      <w:r>
        <w:rPr>
          <w:rFonts w:cs="Arial"/>
        </w:rPr>
        <w:t>.</w:t>
      </w:r>
    </w:p>
    <w:p w:rsidR="00350662" w:rsidRDefault="00DD2E90" w:rsidP="007164F1">
      <w:pPr>
        <w:rPr>
          <w:rFonts w:cs="Arial"/>
        </w:rPr>
      </w:pPr>
      <w:r>
        <w:rPr>
          <w:noProof/>
          <w:color w:val="000000" w:themeColor="text1"/>
        </w:rPr>
        <w:lastRenderedPageBreak/>
        <w:t xml:space="preserve">Das </w:t>
      </w:r>
      <w:r w:rsidRPr="00BC0152">
        <w:rPr>
          <w:b/>
          <w:noProof/>
          <w:color w:val="000000" w:themeColor="text1"/>
        </w:rPr>
        <w:t xml:space="preserve">PAK-Absetzbecken </w:t>
      </w:r>
      <w:r w:rsidRPr="00BC0152">
        <w:rPr>
          <w:noProof/>
          <w:color w:val="000000" w:themeColor="text1"/>
        </w:rPr>
        <w:t>ist auf eine</w:t>
      </w:r>
      <w:r w:rsidRPr="00BC0152">
        <w:rPr>
          <w:b/>
          <w:noProof/>
          <w:color w:val="000000" w:themeColor="text1"/>
        </w:rPr>
        <w:t xml:space="preserve"> Oberflächenbeschickung von q</w:t>
      </w:r>
      <w:r w:rsidRPr="00BC0152">
        <w:rPr>
          <w:b/>
          <w:noProof/>
          <w:color w:val="000000" w:themeColor="text1"/>
          <w:vertAlign w:val="subscript"/>
        </w:rPr>
        <w:t>A</w:t>
      </w:r>
      <w:r w:rsidRPr="00BC0152">
        <w:rPr>
          <w:b/>
          <w:noProof/>
          <w:color w:val="000000" w:themeColor="text1"/>
        </w:rPr>
        <w:t xml:space="preserve"> = 2 m/h</w:t>
      </w:r>
      <w:r>
        <w:rPr>
          <w:noProof/>
          <w:color w:val="000000" w:themeColor="text1"/>
        </w:rPr>
        <w:t xml:space="preserve"> auszulegen. </w:t>
      </w:r>
      <w:r>
        <w:rPr>
          <w:rFonts w:cs="Arial"/>
        </w:rPr>
        <w:t xml:space="preserve">Neben einem konventionellen Absetzbecken kommen grundsätzlich noch alternative Verfahren in Frage, die entweder, wie z. B. das </w:t>
      </w:r>
      <w:proofErr w:type="spellStart"/>
      <w:r>
        <w:rPr>
          <w:rFonts w:cs="Arial"/>
        </w:rPr>
        <w:t>Actiflo</w:t>
      </w:r>
      <w:proofErr w:type="spellEnd"/>
      <w:r>
        <w:rPr>
          <w:rFonts w:cs="Arial"/>
        </w:rPr>
        <w:t>-Verfahren, auf eine optimierte Sedi</w:t>
      </w:r>
      <w:r>
        <w:rPr>
          <w:rFonts w:cs="Arial"/>
        </w:rPr>
        <w:t>mentation der PAK oder auf eine direkte Filtration basieren.</w:t>
      </w:r>
    </w:p>
    <w:p w:rsidR="00350662" w:rsidRDefault="00DD2E90" w:rsidP="007164F1">
      <w:pPr>
        <w:rPr>
          <w:rFonts w:cs="Arial"/>
        </w:rPr>
      </w:pPr>
      <w:r>
        <w:rPr>
          <w:rFonts w:cs="Arial"/>
        </w:rPr>
        <w:t xml:space="preserve">Zum </w:t>
      </w:r>
      <w:r w:rsidRPr="00BC0152">
        <w:rPr>
          <w:rFonts w:cs="Arial"/>
          <w:b/>
        </w:rPr>
        <w:t>Rückhalt feindisperser PAK</w:t>
      </w:r>
      <w:r>
        <w:rPr>
          <w:rFonts w:cs="Arial"/>
        </w:rPr>
        <w:t xml:space="preserve"> ist nach einer Sedimentation grundsätzlich eine </w:t>
      </w:r>
      <w:r w:rsidRPr="00BC0152">
        <w:rPr>
          <w:rFonts w:cs="Arial"/>
          <w:b/>
        </w:rPr>
        <w:t>Filtration nachzuschalten</w:t>
      </w:r>
      <w:r>
        <w:rPr>
          <w:rFonts w:cs="Arial"/>
        </w:rPr>
        <w:t>. Neben der Volumenfiltration</w:t>
      </w:r>
      <w:r>
        <w:rPr>
          <w:rFonts w:cs="Arial"/>
        </w:rPr>
        <w:t xml:space="preserve"> sind auch alternative Verfahren wie z. B. die Tuchfiltration </w:t>
      </w:r>
      <w:r>
        <w:rPr>
          <w:rFonts w:cs="Arial"/>
        </w:rPr>
        <w:t>möglich. Die Eignung dieser Verfahren ist zum Rückhalt von PAK ist nachzuweisen.</w:t>
      </w:r>
    </w:p>
    <w:p w:rsidR="004B3E1F" w:rsidRDefault="00DD2E90">
      <w:pPr>
        <w:spacing w:after="0" w:line="240" w:lineRule="auto"/>
        <w:jc w:val="left"/>
        <w:rPr>
          <w:rFonts w:cs="Arial"/>
          <w:b/>
        </w:rPr>
      </w:pPr>
    </w:p>
    <w:p w:rsidR="00BC0152" w:rsidRDefault="00DD2E90" w:rsidP="00687424">
      <w:pPr>
        <w:pStyle w:val="berschrift2"/>
      </w:pPr>
      <w:bookmarkStart w:id="14" w:name="_Toc398024637"/>
      <w:r w:rsidRPr="00687424">
        <w:t>GAK-Filter</w:t>
      </w:r>
      <w:bookmarkEnd w:id="14"/>
    </w:p>
    <w:p w:rsidR="00687424" w:rsidRPr="00687424" w:rsidRDefault="00DD2E90" w:rsidP="00687424"/>
    <w:p w:rsidR="00524431" w:rsidRDefault="00DD2E90" w:rsidP="00524431">
      <w:pPr>
        <w:rPr>
          <w:rFonts w:cs="Arial"/>
        </w:rPr>
      </w:pPr>
      <w:r>
        <w:rPr>
          <w:rFonts w:cs="Arial"/>
        </w:rPr>
        <w:t>Die erzielbaren</w:t>
      </w:r>
      <w:r>
        <w:rPr>
          <w:rFonts w:cs="Arial"/>
        </w:rPr>
        <w:t xml:space="preserve"> Bettvolumina bis zum Austausch bzw. Regenerierung der GAK </w:t>
      </w:r>
      <w:r>
        <w:rPr>
          <w:rFonts w:cs="Arial"/>
        </w:rPr>
        <w:t>sind</w:t>
      </w:r>
      <w:r>
        <w:rPr>
          <w:rFonts w:cs="Arial"/>
        </w:rPr>
        <w:t xml:space="preserve"> stoffspezifisch festzulegen. </w:t>
      </w:r>
      <w:r>
        <w:rPr>
          <w:rFonts w:cs="Arial"/>
        </w:rPr>
        <w:t xml:space="preserve">Bis jetzt existiert </w:t>
      </w:r>
      <w:r>
        <w:rPr>
          <w:rFonts w:cs="Arial"/>
        </w:rPr>
        <w:t>k</w:t>
      </w:r>
      <w:r>
        <w:rPr>
          <w:rFonts w:cs="Arial"/>
        </w:rPr>
        <w:t xml:space="preserve">ein allgemeingültiges Kriterium </w:t>
      </w:r>
      <w:r>
        <w:rPr>
          <w:rFonts w:cs="Arial"/>
        </w:rPr>
        <w:t xml:space="preserve">zum Austausch des Filtermaterials. Neben den Summenparametern CSB oder DOC können standortspezifisch relevante Mikroschadstoffe herangezogen. In der Regel wird der Stoffdurchbruch als konzentrationsbezogener Wirkungsgrad für den Zu- und Ablauf des Filters </w:t>
      </w:r>
      <w:r>
        <w:rPr>
          <w:rFonts w:cs="Arial"/>
        </w:rPr>
        <w:t>ermittelt.</w:t>
      </w:r>
    </w:p>
    <w:p w:rsidR="00EC24A7" w:rsidRDefault="00DD2E90" w:rsidP="00EC24A7">
      <w:r>
        <w:rPr>
          <w:rFonts w:cs="Arial"/>
        </w:rPr>
        <w:t xml:space="preserve">Die zurzeit vorliegenden Erfahrungen </w:t>
      </w:r>
      <w:r w:rsidRPr="0066372A">
        <w:rPr>
          <w:rFonts w:cs="Arial"/>
        </w:rPr>
        <w:t xml:space="preserve">deuten auf </w:t>
      </w:r>
      <w:r w:rsidRPr="0066372A">
        <w:rPr>
          <w:rFonts w:cs="Arial"/>
        </w:rPr>
        <w:t>eine Anzahl</w:t>
      </w:r>
      <w:r w:rsidRPr="0066372A">
        <w:rPr>
          <w:rFonts w:cs="Arial"/>
          <w:b/>
        </w:rPr>
        <w:t xml:space="preserve"> von</w:t>
      </w:r>
      <w:r w:rsidRPr="00F37212">
        <w:rPr>
          <w:rFonts w:cs="Arial"/>
          <w:b/>
        </w:rPr>
        <w:t xml:space="preserve"> 3.000 bis ca. 15.000</w:t>
      </w:r>
      <w:r>
        <w:rPr>
          <w:rFonts w:cs="Arial"/>
        </w:rPr>
        <w:t xml:space="preserve"> </w:t>
      </w:r>
      <w:r>
        <w:rPr>
          <w:rFonts w:cs="Arial"/>
        </w:rPr>
        <w:t xml:space="preserve">durchsetzbare </w:t>
      </w:r>
      <w:r w:rsidRPr="00F37212">
        <w:rPr>
          <w:rFonts w:cs="Arial"/>
          <w:b/>
        </w:rPr>
        <w:t>Bettvolum</w:t>
      </w:r>
      <w:r>
        <w:rPr>
          <w:rFonts w:cs="Arial"/>
          <w:b/>
        </w:rPr>
        <w:t>ina</w:t>
      </w:r>
      <w:r>
        <w:rPr>
          <w:rFonts w:cs="Arial"/>
        </w:rPr>
        <w:t xml:space="preserve"> </w:t>
      </w:r>
      <w:r>
        <w:rPr>
          <w:rFonts w:cs="Arial"/>
        </w:rPr>
        <w:t>hin</w:t>
      </w:r>
      <w:r>
        <w:rPr>
          <w:rFonts w:cs="Arial"/>
        </w:rPr>
        <w:t>,</w:t>
      </w:r>
      <w:r>
        <w:rPr>
          <w:rFonts w:cs="Arial"/>
        </w:rPr>
        <w:t xml:space="preserve"> bis die GAK ausgetauscht oder regeneriert werden muss</w:t>
      </w:r>
      <w:r>
        <w:rPr>
          <w:rFonts w:cs="Arial"/>
        </w:rPr>
        <w:t xml:space="preserve">. Von Seiten der </w:t>
      </w:r>
      <w:r>
        <w:rPr>
          <w:rFonts w:cs="Arial"/>
        </w:rPr>
        <w:t>Planer</w:t>
      </w:r>
      <w:r>
        <w:rPr>
          <w:rFonts w:cs="Arial"/>
        </w:rPr>
        <w:t xml:space="preserve"> und Institute ist die vorherige Durchführung von la</w:t>
      </w:r>
      <w:r>
        <w:rPr>
          <w:rFonts w:cs="Arial"/>
        </w:rPr>
        <w:t xml:space="preserve">bor- und/oder halbtechnischen Versuchen zur Abschätzung der erzielbaren Bettvolumina </w:t>
      </w:r>
      <w:r>
        <w:rPr>
          <w:rFonts w:cs="Arial"/>
        </w:rPr>
        <w:t>dringend zu empfehlen</w:t>
      </w:r>
      <w:r>
        <w:rPr>
          <w:rFonts w:cs="Arial"/>
        </w:rPr>
        <w:t>.</w:t>
      </w:r>
      <w:r>
        <w:t xml:space="preserve"> </w:t>
      </w:r>
    </w:p>
    <w:p w:rsidR="00EC24A7" w:rsidRDefault="00DD2E90" w:rsidP="00EC24A7"/>
    <w:p w:rsidR="00EC24A7" w:rsidRDefault="00DD2E90" w:rsidP="00EC24A7">
      <w:pPr>
        <w:sectPr w:rsidR="00EC24A7" w:rsidSect="00EC24A7">
          <w:footerReference w:type="default" r:id="rId11"/>
          <w:pgSz w:w="11906" w:h="16838" w:code="9"/>
          <w:pgMar w:top="1527" w:right="1985" w:bottom="1701" w:left="1418" w:header="1134" w:footer="709" w:gutter="0"/>
          <w:pgNumType w:start="1"/>
          <w:cols w:space="708"/>
          <w:docGrid w:linePitch="360"/>
        </w:sectPr>
      </w:pPr>
    </w:p>
    <w:p w:rsidR="00EC24A7" w:rsidRDefault="00DD2E90" w:rsidP="000002D8"/>
    <w:p w:rsidR="00D90438" w:rsidRDefault="00DD2E90" w:rsidP="000002D8"/>
    <w:p w:rsidR="00D90438" w:rsidRDefault="00DD2E90" w:rsidP="000002D8"/>
    <w:p w:rsidR="00D90438" w:rsidRDefault="00DD2E90" w:rsidP="000002D8"/>
    <w:p w:rsidR="00D90438" w:rsidRDefault="00DD2E90" w:rsidP="000002D8"/>
    <w:p w:rsidR="00D90438" w:rsidRDefault="00DD2E90" w:rsidP="000002D8"/>
    <w:p w:rsidR="00D90438" w:rsidRDefault="00DD2E90" w:rsidP="000002D8"/>
    <w:p w:rsidR="00D90438" w:rsidRPr="00D90438" w:rsidRDefault="00DD2E90" w:rsidP="00D90438">
      <w:pPr>
        <w:pStyle w:val="Titel"/>
      </w:pPr>
      <w:r w:rsidRPr="00D90438">
        <w:t>Anlagen</w:t>
      </w:r>
    </w:p>
    <w:sectPr w:rsidR="00D90438" w:rsidRPr="00D90438" w:rsidSect="000007DF">
      <w:footerReference w:type="default" r:id="rId12"/>
      <w:pgSz w:w="11906" w:h="16838" w:code="9"/>
      <w:pgMar w:top="1527" w:right="1985" w:bottom="1701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2E90">
      <w:pPr>
        <w:spacing w:after="0" w:line="240" w:lineRule="auto"/>
      </w:pPr>
      <w:r>
        <w:separator/>
      </w:r>
    </w:p>
  </w:endnote>
  <w:endnote w:type="continuationSeparator" w:id="0">
    <w:p w:rsidR="00000000" w:rsidRDefault="00DD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A7" w:rsidRPr="00F8517A" w:rsidRDefault="00DD2E90" w:rsidP="00F64D15">
    <w:pPr>
      <w:pStyle w:val="Fuzeile"/>
      <w:jc w:val="left"/>
      <w:rPr>
        <w:rFonts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DD42286" wp14:editId="3E3D4A2B">
          <wp:simplePos x="0" y="0"/>
          <wp:positionH relativeFrom="column">
            <wp:posOffset>5401945</wp:posOffset>
          </wp:positionH>
          <wp:positionV relativeFrom="paragraph">
            <wp:posOffset>-150495</wp:posOffset>
          </wp:positionV>
          <wp:extent cx="732155" cy="542925"/>
          <wp:effectExtent l="19050" t="0" r="0" b="0"/>
          <wp:wrapNone/>
          <wp:docPr id="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517A">
      <w:rPr>
        <w:rFonts w:cs="Arial"/>
        <w:sz w:val="20"/>
        <w:szCs w:val="20"/>
      </w:rPr>
      <w:t xml:space="preserve">Kompetenzzentrum </w:t>
    </w:r>
    <w:proofErr w:type="spellStart"/>
    <w:r w:rsidRPr="00F8517A">
      <w:rPr>
        <w:rFonts w:cs="Arial"/>
        <w:sz w:val="20"/>
        <w:szCs w:val="20"/>
      </w:rPr>
      <w:t>Mikroschadstoffe.NRW</w:t>
    </w:r>
    <w:proofErr w:type="spellEnd"/>
    <w:r w:rsidRPr="00F8517A">
      <w:rPr>
        <w:rFonts w:cs="Arial"/>
        <w:sz w:val="20"/>
        <w:szCs w:val="20"/>
      </w:rPr>
      <w:t xml:space="preserve"> </w:t>
    </w:r>
    <w:r w:rsidRPr="00F8517A">
      <w:rPr>
        <w:rFonts w:cs="Arial"/>
        <w:sz w:val="20"/>
        <w:szCs w:val="20"/>
      </w:rPr>
      <w:br/>
      <w:t xml:space="preserve">bearbeitet durch </w:t>
    </w:r>
    <w:r>
      <w:rPr>
        <w:noProof/>
      </w:rPr>
      <w:drawing>
        <wp:anchor distT="0" distB="0" distL="114300" distR="114300" simplePos="0" relativeHeight="251653120" behindDoc="0" locked="0" layoutInCell="1" allowOverlap="1" wp14:anchorId="50532524" wp14:editId="20C4C7E5">
          <wp:simplePos x="0" y="0"/>
          <wp:positionH relativeFrom="column">
            <wp:posOffset>2839720</wp:posOffset>
          </wp:positionH>
          <wp:positionV relativeFrom="paragraph">
            <wp:posOffset>-67310</wp:posOffset>
          </wp:positionV>
          <wp:extent cx="2407920" cy="353060"/>
          <wp:effectExtent l="19050" t="0" r="0" b="0"/>
          <wp:wrapNone/>
          <wp:docPr id="6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4E6" w:rsidRPr="00F8517A" w:rsidRDefault="00DD2E90" w:rsidP="00F64D15">
    <w:pPr>
      <w:pStyle w:val="Fuzeile"/>
      <w:jc w:val="left"/>
      <w:rPr>
        <w:rFonts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38A17C" wp14:editId="69980356">
          <wp:simplePos x="0" y="0"/>
          <wp:positionH relativeFrom="column">
            <wp:posOffset>5401945</wp:posOffset>
          </wp:positionH>
          <wp:positionV relativeFrom="paragraph">
            <wp:posOffset>-150495</wp:posOffset>
          </wp:positionV>
          <wp:extent cx="732155" cy="542925"/>
          <wp:effectExtent l="19050" t="0" r="0" b="0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517A">
      <w:rPr>
        <w:rFonts w:cs="Arial"/>
        <w:sz w:val="20"/>
        <w:szCs w:val="20"/>
      </w:rPr>
      <w:t xml:space="preserve">Kompetenzzentrum </w:t>
    </w:r>
    <w:proofErr w:type="spellStart"/>
    <w:r w:rsidRPr="00F8517A">
      <w:rPr>
        <w:rFonts w:cs="Arial"/>
        <w:sz w:val="20"/>
        <w:szCs w:val="20"/>
      </w:rPr>
      <w:t>Mikroschadstoffe.NRW</w:t>
    </w:r>
    <w:proofErr w:type="spellEnd"/>
    <w:r w:rsidRPr="00F8517A">
      <w:rPr>
        <w:rFonts w:cs="Arial"/>
        <w:sz w:val="20"/>
        <w:szCs w:val="20"/>
      </w:rPr>
      <w:t xml:space="preserve"> </w:t>
    </w:r>
    <w:r w:rsidRPr="00F8517A">
      <w:rPr>
        <w:rFonts w:cs="Arial"/>
        <w:sz w:val="20"/>
        <w:szCs w:val="20"/>
      </w:rPr>
      <w:br/>
      <w:t xml:space="preserve">bearbeitet durch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07C4ECA9" wp14:editId="28B7D0E2">
          <wp:simplePos x="0" y="0"/>
          <wp:positionH relativeFrom="column">
            <wp:posOffset>2839720</wp:posOffset>
          </wp:positionH>
          <wp:positionV relativeFrom="paragraph">
            <wp:posOffset>-67310</wp:posOffset>
          </wp:positionV>
          <wp:extent cx="2407920" cy="353060"/>
          <wp:effectExtent l="19050" t="0" r="0" b="0"/>
          <wp:wrapNone/>
          <wp:docPr id="10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br/>
      <w:t xml:space="preserve"> </w:t>
    </w:r>
    <w:r>
      <w:rPr>
        <w:rFonts w:cs="Arial"/>
        <w:sz w:val="20"/>
        <w:szCs w:val="20"/>
      </w:rPr>
      <w:tab/>
      <w:t xml:space="preserve">- </w:t>
    </w: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 \* Arabic  \* MERGEFORMAT </w:instrText>
    </w:r>
    <w:r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11</w:t>
    </w:r>
    <w:r>
      <w:rPr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38" w:rsidRPr="00F8517A" w:rsidRDefault="00DD2E90" w:rsidP="00F64D15">
    <w:pPr>
      <w:pStyle w:val="Fuzeile"/>
      <w:jc w:val="left"/>
      <w:rPr>
        <w:rFonts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EFFBF8B" wp14:editId="5463F084">
          <wp:simplePos x="0" y="0"/>
          <wp:positionH relativeFrom="column">
            <wp:posOffset>5401945</wp:posOffset>
          </wp:positionH>
          <wp:positionV relativeFrom="paragraph">
            <wp:posOffset>-150495</wp:posOffset>
          </wp:positionV>
          <wp:extent cx="732155" cy="542925"/>
          <wp:effectExtent l="19050" t="0" r="0" b="0"/>
          <wp:wrapNone/>
          <wp:docPr id="1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517A">
      <w:rPr>
        <w:rFonts w:cs="Arial"/>
        <w:sz w:val="20"/>
        <w:szCs w:val="20"/>
      </w:rPr>
      <w:t xml:space="preserve">Kompetenzzentrum </w:t>
    </w:r>
    <w:proofErr w:type="spellStart"/>
    <w:r w:rsidRPr="00F8517A">
      <w:rPr>
        <w:rFonts w:cs="Arial"/>
        <w:sz w:val="20"/>
        <w:szCs w:val="20"/>
      </w:rPr>
      <w:t>Mikroschadstoffe.NRW</w:t>
    </w:r>
    <w:proofErr w:type="spellEnd"/>
    <w:r w:rsidRPr="00F8517A">
      <w:rPr>
        <w:rFonts w:cs="Arial"/>
        <w:sz w:val="20"/>
        <w:szCs w:val="20"/>
      </w:rPr>
      <w:t xml:space="preserve"> </w:t>
    </w:r>
    <w:r w:rsidRPr="00F8517A">
      <w:rPr>
        <w:rFonts w:cs="Arial"/>
        <w:sz w:val="20"/>
        <w:szCs w:val="20"/>
      </w:rPr>
      <w:br/>
      <w:t xml:space="preserve">bearbeitet durch 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190EDA90" wp14:editId="69E37B49">
          <wp:simplePos x="0" y="0"/>
          <wp:positionH relativeFrom="column">
            <wp:posOffset>2839720</wp:posOffset>
          </wp:positionH>
          <wp:positionV relativeFrom="paragraph">
            <wp:posOffset>-67310</wp:posOffset>
          </wp:positionV>
          <wp:extent cx="2407920" cy="353060"/>
          <wp:effectExtent l="19050" t="0" r="0" b="0"/>
          <wp:wrapNone/>
          <wp:docPr id="14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br/>
      <w:t xml:space="preserve"> </w:t>
    </w:r>
    <w:r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2E90">
      <w:pPr>
        <w:spacing w:after="0" w:line="240" w:lineRule="auto"/>
      </w:pPr>
      <w:r>
        <w:separator/>
      </w:r>
    </w:p>
  </w:footnote>
  <w:footnote w:type="continuationSeparator" w:id="0">
    <w:p w:rsidR="00000000" w:rsidRDefault="00DD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A7" w:rsidRDefault="00DD2E90">
    <w:pPr>
      <w:pStyle w:val="Kopfzeile"/>
    </w:pPr>
    <w:sdt>
      <w:sdtPr>
        <w:id w:val="1040244076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8913" type="#_x0000_t136" style="position:absolute;left:0;text-align:left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sdtContent>
    </w:sdt>
    <w:r>
      <w:rPr>
        <w:noProof/>
      </w:rPr>
      <w:drawing>
        <wp:anchor distT="0" distB="0" distL="114300" distR="114300" simplePos="0" relativeHeight="251655168" behindDoc="0" locked="0" layoutInCell="1" allowOverlap="1" wp14:anchorId="58FB977C" wp14:editId="46EF5679">
          <wp:simplePos x="0" y="0"/>
          <wp:positionH relativeFrom="column">
            <wp:posOffset>3592195</wp:posOffset>
          </wp:positionH>
          <wp:positionV relativeFrom="paragraph">
            <wp:posOffset>-522605</wp:posOffset>
          </wp:positionV>
          <wp:extent cx="2867025" cy="448310"/>
          <wp:effectExtent l="19050" t="0" r="9525" b="0"/>
          <wp:wrapNone/>
          <wp:docPr id="1" name="Picture 34" descr="Logo des Ministeriums für Klimaschutz, Umwelt, Landwirtschaft, Natur- und Verbraucherschutz des Landes NR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des Ministeriums für Klimaschutz, Umwelt, Landwirtschaft, Natur- und Verbraucherschutz des Landes NRW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6D54568" wp14:editId="1ED4A4BD">
          <wp:simplePos x="0" y="0"/>
          <wp:positionH relativeFrom="column">
            <wp:posOffset>-316865</wp:posOffset>
          </wp:positionH>
          <wp:positionV relativeFrom="paragraph">
            <wp:posOffset>-585470</wp:posOffset>
          </wp:positionV>
          <wp:extent cx="3127375" cy="574040"/>
          <wp:effectExtent l="19050" t="0" r="0" b="0"/>
          <wp:wrapNone/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5EC0A719" wp14:editId="1FD74C04">
          <wp:simplePos x="0" y="0"/>
          <wp:positionH relativeFrom="column">
            <wp:posOffset>-890905</wp:posOffset>
          </wp:positionH>
          <wp:positionV relativeFrom="paragraph">
            <wp:posOffset>32385</wp:posOffset>
          </wp:positionV>
          <wp:extent cx="7400290" cy="133350"/>
          <wp:effectExtent l="1905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29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655"/>
    <w:multiLevelType w:val="hybridMultilevel"/>
    <w:tmpl w:val="A6163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9519B"/>
    <w:multiLevelType w:val="hybridMultilevel"/>
    <w:tmpl w:val="ECB09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270F"/>
    <w:multiLevelType w:val="hybridMultilevel"/>
    <w:tmpl w:val="66FC5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4DBA"/>
    <w:multiLevelType w:val="hybridMultilevel"/>
    <w:tmpl w:val="38EC0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C03BB"/>
    <w:multiLevelType w:val="hybridMultilevel"/>
    <w:tmpl w:val="891C7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371FC"/>
    <w:multiLevelType w:val="hybridMultilevel"/>
    <w:tmpl w:val="596A9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643A6"/>
    <w:multiLevelType w:val="hybridMultilevel"/>
    <w:tmpl w:val="68029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90A08"/>
    <w:multiLevelType w:val="hybridMultilevel"/>
    <w:tmpl w:val="30687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85C44"/>
    <w:multiLevelType w:val="hybridMultilevel"/>
    <w:tmpl w:val="5FF49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FC1577"/>
    <w:multiLevelType w:val="hybridMultilevel"/>
    <w:tmpl w:val="489E5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B1F02"/>
    <w:multiLevelType w:val="hybridMultilevel"/>
    <w:tmpl w:val="FDF66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11DA2"/>
    <w:multiLevelType w:val="hybridMultilevel"/>
    <w:tmpl w:val="F89C0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B7A18"/>
    <w:multiLevelType w:val="hybridMultilevel"/>
    <w:tmpl w:val="9D322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71D86"/>
    <w:multiLevelType w:val="multilevel"/>
    <w:tmpl w:val="43768DDA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23173CD"/>
    <w:multiLevelType w:val="hybridMultilevel"/>
    <w:tmpl w:val="7AD48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D2B47"/>
    <w:multiLevelType w:val="hybridMultilevel"/>
    <w:tmpl w:val="DCD09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24F2B"/>
    <w:multiLevelType w:val="hybridMultilevel"/>
    <w:tmpl w:val="D17C1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73971"/>
    <w:multiLevelType w:val="hybridMultilevel"/>
    <w:tmpl w:val="AAF8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02760A"/>
    <w:multiLevelType w:val="hybridMultilevel"/>
    <w:tmpl w:val="45A8C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E149D"/>
    <w:multiLevelType w:val="hybridMultilevel"/>
    <w:tmpl w:val="DF06A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4435B"/>
    <w:multiLevelType w:val="hybridMultilevel"/>
    <w:tmpl w:val="79D41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9F7CC0"/>
    <w:multiLevelType w:val="hybridMultilevel"/>
    <w:tmpl w:val="0ED2E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A73E6C"/>
    <w:multiLevelType w:val="hybridMultilevel"/>
    <w:tmpl w:val="D83AD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B5318B"/>
    <w:multiLevelType w:val="hybridMultilevel"/>
    <w:tmpl w:val="98A433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077855"/>
    <w:multiLevelType w:val="hybridMultilevel"/>
    <w:tmpl w:val="423453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6C2EDB"/>
    <w:multiLevelType w:val="hybridMultilevel"/>
    <w:tmpl w:val="6F50D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BF780E"/>
    <w:multiLevelType w:val="hybridMultilevel"/>
    <w:tmpl w:val="152EE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CD49BB"/>
    <w:multiLevelType w:val="hybridMultilevel"/>
    <w:tmpl w:val="85385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7422F"/>
    <w:multiLevelType w:val="hybridMultilevel"/>
    <w:tmpl w:val="B25E6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97974"/>
    <w:multiLevelType w:val="hybridMultilevel"/>
    <w:tmpl w:val="5BCE4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D2700"/>
    <w:multiLevelType w:val="hybridMultilevel"/>
    <w:tmpl w:val="F4D07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767617"/>
    <w:multiLevelType w:val="hybridMultilevel"/>
    <w:tmpl w:val="924623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42F00"/>
    <w:multiLevelType w:val="hybridMultilevel"/>
    <w:tmpl w:val="C3F87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6557D"/>
    <w:multiLevelType w:val="hybridMultilevel"/>
    <w:tmpl w:val="8D545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820A35"/>
    <w:multiLevelType w:val="hybridMultilevel"/>
    <w:tmpl w:val="8E724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6115AE"/>
    <w:multiLevelType w:val="hybridMultilevel"/>
    <w:tmpl w:val="DD84A2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25"/>
  </w:num>
  <w:num w:numId="5">
    <w:abstractNumId w:val="7"/>
  </w:num>
  <w:num w:numId="6">
    <w:abstractNumId w:val="22"/>
  </w:num>
  <w:num w:numId="7">
    <w:abstractNumId w:val="16"/>
  </w:num>
  <w:num w:numId="8">
    <w:abstractNumId w:val="15"/>
  </w:num>
  <w:num w:numId="9">
    <w:abstractNumId w:val="31"/>
  </w:num>
  <w:num w:numId="10">
    <w:abstractNumId w:val="17"/>
  </w:num>
  <w:num w:numId="11">
    <w:abstractNumId w:val="34"/>
  </w:num>
  <w:num w:numId="12">
    <w:abstractNumId w:val="8"/>
  </w:num>
  <w:num w:numId="13">
    <w:abstractNumId w:val="6"/>
  </w:num>
  <w:num w:numId="14">
    <w:abstractNumId w:val="4"/>
  </w:num>
  <w:num w:numId="15">
    <w:abstractNumId w:val="19"/>
  </w:num>
  <w:num w:numId="16">
    <w:abstractNumId w:val="28"/>
  </w:num>
  <w:num w:numId="17">
    <w:abstractNumId w:val="2"/>
  </w:num>
  <w:num w:numId="18">
    <w:abstractNumId w:val="10"/>
  </w:num>
  <w:num w:numId="19">
    <w:abstractNumId w:val="30"/>
  </w:num>
  <w:num w:numId="20">
    <w:abstractNumId w:val="35"/>
  </w:num>
  <w:num w:numId="21">
    <w:abstractNumId w:val="3"/>
  </w:num>
  <w:num w:numId="22">
    <w:abstractNumId w:val="26"/>
  </w:num>
  <w:num w:numId="23">
    <w:abstractNumId w:val="33"/>
  </w:num>
  <w:num w:numId="24">
    <w:abstractNumId w:val="11"/>
  </w:num>
  <w:num w:numId="25">
    <w:abstractNumId w:val="12"/>
  </w:num>
  <w:num w:numId="26">
    <w:abstractNumId w:val="23"/>
  </w:num>
  <w:num w:numId="27">
    <w:abstractNumId w:val="18"/>
  </w:num>
  <w:num w:numId="28">
    <w:abstractNumId w:val="27"/>
  </w:num>
  <w:num w:numId="29">
    <w:abstractNumId w:val="24"/>
  </w:num>
  <w:num w:numId="30">
    <w:abstractNumId w:val="32"/>
  </w:num>
  <w:num w:numId="31">
    <w:abstractNumId w:val="9"/>
  </w:num>
  <w:num w:numId="32">
    <w:abstractNumId w:val="5"/>
  </w:num>
  <w:num w:numId="33">
    <w:abstractNumId w:val="14"/>
  </w:num>
  <w:num w:numId="34">
    <w:abstractNumId w:val="29"/>
  </w:num>
  <w:num w:numId="35">
    <w:abstractNumId w:val="0"/>
  </w:num>
  <w:num w:numId="36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hdrShapeDefaults>
    <o:shapedefaults v:ext="edit" spidmax="39938"/>
    <o:shapelayout v:ext="edit">
      <o:idmap v:ext="edit" data="1,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90"/>
    <w:rsid w:val="00D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39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7EE4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locked/>
    <w:rsid w:val="000007DF"/>
    <w:pPr>
      <w:keepNext/>
      <w:keepLines/>
      <w:numPr>
        <w:numId w:val="36"/>
      </w:numPr>
      <w:spacing w:before="60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687424"/>
    <w:pPr>
      <w:keepNext/>
      <w:keepLines/>
      <w:numPr>
        <w:ilvl w:val="1"/>
        <w:numId w:val="36"/>
      </w:numPr>
      <w:spacing w:before="200" w:after="0"/>
      <w:outlineLvl w:val="1"/>
    </w:pPr>
    <w:rPr>
      <w:rFonts w:eastAsiaTheme="majorEastAsia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8F6B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8F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F6B2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99"/>
    <w:qFormat/>
    <w:rsid w:val="00CF14D1"/>
    <w:rPr>
      <w:rFonts w:cs="Times New Roman"/>
      <w:b/>
      <w:bCs/>
    </w:rPr>
  </w:style>
  <w:style w:type="paragraph" w:styleId="Listenabsatz">
    <w:name w:val="List Paragraph"/>
    <w:basedOn w:val="Standard"/>
    <w:uiPriority w:val="34"/>
    <w:qFormat/>
    <w:rsid w:val="00C92282"/>
    <w:pPr>
      <w:spacing w:after="0" w:line="240" w:lineRule="auto"/>
      <w:ind w:left="720"/>
      <w:contextualSpacing/>
    </w:pPr>
    <w:rPr>
      <w:szCs w:val="24"/>
    </w:rPr>
  </w:style>
  <w:style w:type="paragraph" w:styleId="Kopfzeile">
    <w:name w:val="header"/>
    <w:basedOn w:val="Standard"/>
    <w:link w:val="KopfzeileZchn"/>
    <w:uiPriority w:val="99"/>
    <w:rsid w:val="00904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0472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904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04722"/>
    <w:rPr>
      <w:rFonts w:cs="Times New Roman"/>
    </w:rPr>
  </w:style>
  <w:style w:type="character" w:styleId="Hyperlink">
    <w:name w:val="Hyperlink"/>
    <w:basedOn w:val="Absatz-Standardschriftart"/>
    <w:uiPriority w:val="99"/>
    <w:rsid w:val="00CD4D4F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89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893D6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sid w:val="004871A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871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4871AD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871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4871AD"/>
    <w:rPr>
      <w:rFonts w:cs="Times New Roman"/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DA2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0007D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qFormat/>
    <w:locked/>
    <w:rsid w:val="00AE34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E34B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rsid w:val="00687424"/>
    <w:rPr>
      <w:rFonts w:ascii="Arial" w:eastAsiaTheme="majorEastAsia" w:hAnsi="Arial" w:cs="Arial"/>
      <w:b/>
      <w:bCs/>
      <w:sz w:val="26"/>
      <w:szCs w:val="26"/>
    </w:rPr>
  </w:style>
  <w:style w:type="paragraph" w:styleId="Textkrper">
    <w:name w:val="Body Text"/>
    <w:basedOn w:val="Standard"/>
    <w:link w:val="TextkrperZchn"/>
    <w:rsid w:val="003D18FD"/>
    <w:pPr>
      <w:spacing w:after="120" w:line="360" w:lineRule="auto"/>
      <w:jc w:val="left"/>
    </w:pPr>
    <w:rPr>
      <w:rFonts w:eastAsiaTheme="minorHAnsi" w:cstheme="minorBidi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D18FD"/>
    <w:rPr>
      <w:rFonts w:ascii="Arial" w:eastAsiaTheme="minorHAnsi" w:hAnsi="Arial" w:cstheme="minorBidi"/>
      <w:lang w:eastAsia="en-US"/>
    </w:rPr>
  </w:style>
  <w:style w:type="paragraph" w:styleId="Verzeichnis1">
    <w:name w:val="toc 1"/>
    <w:basedOn w:val="Standard"/>
    <w:next w:val="Standard"/>
    <w:autoRedefine/>
    <w:uiPriority w:val="39"/>
    <w:locked/>
    <w:rsid w:val="004B3E1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locked/>
    <w:rsid w:val="004B3E1F"/>
    <w:pPr>
      <w:spacing w:after="100"/>
      <w:ind w:left="220"/>
    </w:pPr>
  </w:style>
  <w:style w:type="paragraph" w:styleId="berarbeitung">
    <w:name w:val="Revision"/>
    <w:hidden/>
    <w:uiPriority w:val="99"/>
    <w:semiHidden/>
    <w:rsid w:val="00271AC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7EE4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locked/>
    <w:rsid w:val="000007DF"/>
    <w:pPr>
      <w:keepNext/>
      <w:keepLines/>
      <w:numPr>
        <w:numId w:val="36"/>
      </w:numPr>
      <w:spacing w:before="60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687424"/>
    <w:pPr>
      <w:keepNext/>
      <w:keepLines/>
      <w:numPr>
        <w:ilvl w:val="1"/>
        <w:numId w:val="36"/>
      </w:numPr>
      <w:spacing w:before="200" w:after="0"/>
      <w:outlineLvl w:val="1"/>
    </w:pPr>
    <w:rPr>
      <w:rFonts w:eastAsiaTheme="majorEastAsia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8F6B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8F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F6B2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99"/>
    <w:qFormat/>
    <w:rsid w:val="00CF14D1"/>
    <w:rPr>
      <w:rFonts w:cs="Times New Roman"/>
      <w:b/>
      <w:bCs/>
    </w:rPr>
  </w:style>
  <w:style w:type="paragraph" w:styleId="Listenabsatz">
    <w:name w:val="List Paragraph"/>
    <w:basedOn w:val="Standard"/>
    <w:uiPriority w:val="34"/>
    <w:qFormat/>
    <w:rsid w:val="00C92282"/>
    <w:pPr>
      <w:spacing w:after="0" w:line="240" w:lineRule="auto"/>
      <w:ind w:left="720"/>
      <w:contextualSpacing/>
    </w:pPr>
    <w:rPr>
      <w:szCs w:val="24"/>
    </w:rPr>
  </w:style>
  <w:style w:type="paragraph" w:styleId="Kopfzeile">
    <w:name w:val="header"/>
    <w:basedOn w:val="Standard"/>
    <w:link w:val="KopfzeileZchn"/>
    <w:uiPriority w:val="99"/>
    <w:rsid w:val="00904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0472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904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04722"/>
    <w:rPr>
      <w:rFonts w:cs="Times New Roman"/>
    </w:rPr>
  </w:style>
  <w:style w:type="character" w:styleId="Hyperlink">
    <w:name w:val="Hyperlink"/>
    <w:basedOn w:val="Absatz-Standardschriftart"/>
    <w:uiPriority w:val="99"/>
    <w:rsid w:val="00CD4D4F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89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893D6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rsid w:val="004871A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871A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4871AD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871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4871AD"/>
    <w:rPr>
      <w:rFonts w:cs="Times New Roman"/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DA2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0007D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qFormat/>
    <w:locked/>
    <w:rsid w:val="00AE34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E34B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rsid w:val="00687424"/>
    <w:rPr>
      <w:rFonts w:ascii="Arial" w:eastAsiaTheme="majorEastAsia" w:hAnsi="Arial" w:cs="Arial"/>
      <w:b/>
      <w:bCs/>
      <w:sz w:val="26"/>
      <w:szCs w:val="26"/>
    </w:rPr>
  </w:style>
  <w:style w:type="paragraph" w:styleId="Textkrper">
    <w:name w:val="Body Text"/>
    <w:basedOn w:val="Standard"/>
    <w:link w:val="TextkrperZchn"/>
    <w:rsid w:val="003D18FD"/>
    <w:pPr>
      <w:spacing w:after="120" w:line="360" w:lineRule="auto"/>
      <w:jc w:val="left"/>
    </w:pPr>
    <w:rPr>
      <w:rFonts w:eastAsiaTheme="minorHAnsi" w:cstheme="minorBidi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D18FD"/>
    <w:rPr>
      <w:rFonts w:ascii="Arial" w:eastAsiaTheme="minorHAnsi" w:hAnsi="Arial" w:cstheme="minorBidi"/>
      <w:lang w:eastAsia="en-US"/>
    </w:rPr>
  </w:style>
  <w:style w:type="paragraph" w:styleId="Verzeichnis1">
    <w:name w:val="toc 1"/>
    <w:basedOn w:val="Standard"/>
    <w:next w:val="Standard"/>
    <w:autoRedefine/>
    <w:uiPriority w:val="39"/>
    <w:locked/>
    <w:rsid w:val="004B3E1F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locked/>
    <w:rsid w:val="004B3E1F"/>
    <w:pPr>
      <w:spacing w:after="100"/>
      <w:ind w:left="220"/>
    </w:pPr>
  </w:style>
  <w:style w:type="paragraph" w:styleId="berarbeitung">
    <w:name w:val="Revision"/>
    <w:hidden/>
    <w:uiPriority w:val="99"/>
    <w:semiHidden/>
    <w:rsid w:val="00271AC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471D-F665-47F7-96AD-59B52BF6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3810</Words>
  <Characters>24008</Characters>
  <Application>Microsoft Office Word</Application>
  <DocSecurity>0</DocSecurity>
  <Lines>200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Grontmij</Company>
  <LinksUpToDate>false</LinksUpToDate>
  <CharactersWithSpaces>27763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Schäfer-Sack Jennifer</cp:lastModifiedBy>
  <cp:revision>1</cp:revision>
  <cp:lastPrinted>2014-10-01T07:32:00Z</cp:lastPrinted>
  <dcterms:created xsi:type="dcterms:W3CDTF">2014-09-08T12:48:00Z</dcterms:created>
  <dcterms:modified xsi:type="dcterms:W3CDTF">2014-10-01T07:33:00Z</dcterms:modified>
</cp:coreProperties>
</file>