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70" w:rsidRDefault="00302237" w:rsidP="003B3E23">
      <w:pPr>
        <w:tabs>
          <w:tab w:val="right" w:pos="9000"/>
        </w:tabs>
        <w:spacing w:line="360" w:lineRule="auto"/>
        <w:jc w:val="both"/>
      </w:pPr>
      <w:r>
        <w:t>RV</w:t>
      </w:r>
      <w:r>
        <w:tab/>
        <w:t xml:space="preserve">Essen, </w:t>
      </w:r>
      <w:r w:rsidR="00D260FC">
        <w:t>21.08.2014</w:t>
      </w:r>
    </w:p>
    <w:p w:rsidR="00302237" w:rsidRDefault="00302237" w:rsidP="003B3E23">
      <w:pPr>
        <w:tabs>
          <w:tab w:val="left" w:pos="6300"/>
        </w:tabs>
        <w:spacing w:line="360" w:lineRule="auto"/>
        <w:jc w:val="both"/>
      </w:pPr>
      <w:r>
        <w:t>R-Ha</w:t>
      </w:r>
    </w:p>
    <w:p w:rsidR="00302237" w:rsidRDefault="00302237" w:rsidP="003B3E23">
      <w:pPr>
        <w:tabs>
          <w:tab w:val="left" w:pos="6300"/>
        </w:tabs>
        <w:spacing w:line="360" w:lineRule="auto"/>
        <w:jc w:val="both"/>
      </w:pPr>
    </w:p>
    <w:p w:rsidR="0096769C" w:rsidRDefault="0096769C" w:rsidP="003B3E23">
      <w:pPr>
        <w:tabs>
          <w:tab w:val="left" w:pos="6300"/>
        </w:tabs>
        <w:spacing w:line="360" w:lineRule="auto"/>
        <w:jc w:val="both"/>
      </w:pPr>
    </w:p>
    <w:p w:rsidR="00302237" w:rsidRPr="00302237" w:rsidRDefault="00302237" w:rsidP="003B3E23">
      <w:pPr>
        <w:tabs>
          <w:tab w:val="left" w:pos="6300"/>
        </w:tabs>
        <w:spacing w:line="360" w:lineRule="auto"/>
        <w:jc w:val="both"/>
        <w:rPr>
          <w:b/>
          <w:spacing w:val="40"/>
        </w:rPr>
      </w:pPr>
      <w:r w:rsidRPr="00302237">
        <w:rPr>
          <w:b/>
          <w:spacing w:val="40"/>
        </w:rPr>
        <w:t>Vermerk</w:t>
      </w:r>
    </w:p>
    <w:p w:rsidR="00302237" w:rsidRPr="00956ED5" w:rsidRDefault="00302237" w:rsidP="003B3E23">
      <w:pPr>
        <w:tabs>
          <w:tab w:val="left" w:pos="6300"/>
        </w:tabs>
        <w:spacing w:line="360" w:lineRule="auto"/>
        <w:jc w:val="both"/>
      </w:pPr>
    </w:p>
    <w:p w:rsidR="00302237" w:rsidRPr="00956ED5" w:rsidRDefault="00302237" w:rsidP="003B3E23">
      <w:pPr>
        <w:tabs>
          <w:tab w:val="left" w:pos="6300"/>
        </w:tabs>
        <w:spacing w:line="360" w:lineRule="auto"/>
        <w:jc w:val="both"/>
      </w:pPr>
    </w:p>
    <w:p w:rsidR="00E32AD0" w:rsidRPr="005A246B" w:rsidRDefault="00E32AD0" w:rsidP="003B3E23">
      <w:pPr>
        <w:spacing w:line="276" w:lineRule="auto"/>
        <w:jc w:val="both"/>
        <w:rPr>
          <w:b/>
        </w:rPr>
      </w:pPr>
      <w:r w:rsidRPr="005A246B">
        <w:rPr>
          <w:b/>
        </w:rPr>
        <w:t xml:space="preserve">Zukunft des </w:t>
      </w:r>
      <w:r w:rsidR="009E0999" w:rsidRPr="005A246B">
        <w:rPr>
          <w:b/>
        </w:rPr>
        <w:t>Widerspruchsverfahren</w:t>
      </w:r>
      <w:r w:rsidR="005A246B">
        <w:rPr>
          <w:b/>
        </w:rPr>
        <w:t>s</w:t>
      </w:r>
      <w:r w:rsidR="005A246B" w:rsidRPr="005A246B">
        <w:rPr>
          <w:b/>
        </w:rPr>
        <w:t xml:space="preserve"> – </w:t>
      </w:r>
      <w:r w:rsidRPr="005A246B">
        <w:rPr>
          <w:b/>
        </w:rPr>
        <w:t>Zur geplanten Neuregelung nach dem Geset</w:t>
      </w:r>
      <w:r w:rsidRPr="005A246B">
        <w:rPr>
          <w:b/>
        </w:rPr>
        <w:t>z</w:t>
      </w:r>
      <w:r w:rsidRPr="005A246B">
        <w:rPr>
          <w:b/>
        </w:rPr>
        <w:t xml:space="preserve">entwurf der Landesregierung zur Änderung u.a. des Justizgesetzes </w:t>
      </w:r>
      <w:r w:rsidR="005C48DF" w:rsidRPr="005A246B">
        <w:rPr>
          <w:b/>
        </w:rPr>
        <w:t>vom 20.06.2014</w:t>
      </w:r>
      <w:r w:rsidR="005C48DF" w:rsidRPr="005A246B">
        <w:rPr>
          <w:b/>
        </w:rPr>
        <w:t xml:space="preserve"> (</w:t>
      </w:r>
      <w:proofErr w:type="spellStart"/>
      <w:r w:rsidR="005C48DF" w:rsidRPr="005A246B">
        <w:rPr>
          <w:b/>
        </w:rPr>
        <w:t>Drs</w:t>
      </w:r>
      <w:proofErr w:type="spellEnd"/>
      <w:r w:rsidR="005C48DF" w:rsidRPr="005A246B">
        <w:rPr>
          <w:b/>
        </w:rPr>
        <w:t>. 16/6089)</w:t>
      </w:r>
    </w:p>
    <w:p w:rsidR="00140414" w:rsidRDefault="00140414" w:rsidP="003B3E23">
      <w:pPr>
        <w:spacing w:line="276" w:lineRule="auto"/>
        <w:jc w:val="both"/>
      </w:pPr>
    </w:p>
    <w:p w:rsidR="005C48DF" w:rsidRDefault="005C48DF" w:rsidP="003B3E23">
      <w:pPr>
        <w:spacing w:line="276" w:lineRule="auto"/>
        <w:jc w:val="both"/>
      </w:pPr>
    </w:p>
    <w:p w:rsidR="001379E2" w:rsidRDefault="001379E2" w:rsidP="003B3E23">
      <w:pPr>
        <w:spacing w:line="276" w:lineRule="auto"/>
        <w:jc w:val="both"/>
      </w:pPr>
    </w:p>
    <w:p w:rsidR="001379E2" w:rsidRDefault="001379E2" w:rsidP="003B3E23">
      <w:pPr>
        <w:spacing w:line="276" w:lineRule="auto"/>
        <w:jc w:val="both"/>
      </w:pPr>
    </w:p>
    <w:p w:rsidR="009E0999" w:rsidRDefault="009E0999" w:rsidP="003B3E23">
      <w:pPr>
        <w:spacing w:line="276" w:lineRule="auto"/>
        <w:jc w:val="both"/>
      </w:pPr>
      <w:r>
        <w:t xml:space="preserve">In einem </w:t>
      </w:r>
      <w:r w:rsidR="000446B0">
        <w:t>am 14.08.</w:t>
      </w:r>
      <w:r w:rsidR="00E32AD0">
        <w:t>2014</w:t>
      </w:r>
      <w:r w:rsidR="000446B0">
        <w:t xml:space="preserve"> geführten Telefonat vertrat Frau Valenti die Auffassung, dass </w:t>
      </w:r>
      <w:r w:rsidR="00D444FB">
        <w:t>bei Verabschiedung der</w:t>
      </w:r>
      <w:r w:rsidR="000446B0">
        <w:t xml:space="preserve"> </w:t>
      </w:r>
      <w:r w:rsidR="005C48DF">
        <w:t xml:space="preserve">o.g. </w:t>
      </w:r>
      <w:r w:rsidR="000446B0">
        <w:t>Gesetze</w:t>
      </w:r>
      <w:r w:rsidR="00D444FB">
        <w:t>snovelle</w:t>
      </w:r>
      <w:r w:rsidR="000446B0">
        <w:t xml:space="preserve"> </w:t>
      </w:r>
      <w:r w:rsidR="005C48DF">
        <w:t>das Widerspruchsverfahren für die sondergeset</w:t>
      </w:r>
      <w:r w:rsidR="005C48DF">
        <w:t>z</w:t>
      </w:r>
      <w:r w:rsidR="005C48DF">
        <w:t xml:space="preserve">lichen Wasserverbände wieder </w:t>
      </w:r>
      <w:r w:rsidR="005C48DF" w:rsidRPr="00D444FB">
        <w:rPr>
          <w:i/>
        </w:rPr>
        <w:t>e</w:t>
      </w:r>
      <w:r w:rsidR="00D444FB" w:rsidRPr="00D444FB">
        <w:rPr>
          <w:i/>
        </w:rPr>
        <w:t>ingeführt</w:t>
      </w:r>
      <w:r w:rsidR="00D444FB">
        <w:t xml:space="preserve"> werde</w:t>
      </w:r>
      <w:r w:rsidR="005C48DF">
        <w:t xml:space="preserve">. </w:t>
      </w:r>
      <w:r w:rsidR="00DF7F6E">
        <w:t>Dies entspricht nicht</w:t>
      </w:r>
      <w:r w:rsidR="009D1A9D">
        <w:t xml:space="preserve"> bisheriger Sichtweise im H</w:t>
      </w:r>
      <w:r w:rsidR="00DF7F6E">
        <w:t xml:space="preserve">aus </w:t>
      </w:r>
      <w:r w:rsidR="009D1A9D">
        <w:t xml:space="preserve">und soweit bekannt auch </w:t>
      </w:r>
      <w:r w:rsidR="00DF7F6E">
        <w:t xml:space="preserve">nicht der </w:t>
      </w:r>
      <w:r w:rsidR="009D1A9D">
        <w:t>im Kreis der Kollegen anderer Wasserverbände.</w:t>
      </w:r>
      <w:r w:rsidR="00D444FB">
        <w:t xml:space="preserve"> Im Einzelnen:</w:t>
      </w:r>
    </w:p>
    <w:p w:rsidR="00D444FB" w:rsidRDefault="00D444FB" w:rsidP="003B3E23">
      <w:pPr>
        <w:spacing w:line="276" w:lineRule="auto"/>
        <w:jc w:val="both"/>
      </w:pPr>
    </w:p>
    <w:p w:rsidR="001379E2" w:rsidRDefault="001379E2" w:rsidP="003B3E23">
      <w:pPr>
        <w:spacing w:line="276" w:lineRule="auto"/>
        <w:jc w:val="both"/>
      </w:pPr>
    </w:p>
    <w:p w:rsidR="001379E2" w:rsidRPr="001379E2" w:rsidRDefault="001379E2" w:rsidP="001379E2">
      <w:pPr>
        <w:spacing w:line="276" w:lineRule="auto"/>
        <w:ind w:left="567" w:hanging="567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 xml:space="preserve">Gegenüberstellung von geltender Rechtslage und </w:t>
      </w:r>
      <w:r w:rsidR="009C22C1">
        <w:rPr>
          <w:b/>
        </w:rPr>
        <w:t>Rechtslage nach der Novelle des Justizgesetzes</w:t>
      </w:r>
    </w:p>
    <w:p w:rsidR="001379E2" w:rsidRDefault="001379E2" w:rsidP="003B3E23">
      <w:pPr>
        <w:spacing w:line="276" w:lineRule="auto"/>
        <w:jc w:val="both"/>
      </w:pPr>
    </w:p>
    <w:p w:rsidR="00D444FB" w:rsidRDefault="00CA182A" w:rsidP="003B3E23">
      <w:pPr>
        <w:spacing w:line="276" w:lineRule="auto"/>
        <w:jc w:val="both"/>
      </w:pPr>
      <w:r>
        <w:t xml:space="preserve">Im Grundsatz bestimmt </w:t>
      </w:r>
      <w:r w:rsidR="00407E46">
        <w:t>die bundesrechtliche Vorschrift des § 68 Abs. 1 S</w:t>
      </w:r>
      <w:r>
        <w:t xml:space="preserve">. 1 </w:t>
      </w:r>
      <w:r w:rsidR="00407E46">
        <w:t>Verwaltungsg</w:t>
      </w:r>
      <w:r w:rsidR="00407E46">
        <w:t>e</w:t>
      </w:r>
      <w:r w:rsidR="00407E46">
        <w:t>richtsordnung (</w:t>
      </w:r>
      <w:r>
        <w:t>VwGO</w:t>
      </w:r>
      <w:r w:rsidR="00407E46">
        <w:t xml:space="preserve">), dass es vor Erhebung einer Anfechtungs- oder Verpflichtungsklage der Durchführung eines behördlichen Vorverfahrens </w:t>
      </w:r>
      <w:r w:rsidR="007769C3">
        <w:t xml:space="preserve">(Widerspruchsverfahrens) </w:t>
      </w:r>
      <w:r w:rsidR="00407E46">
        <w:t>bedarf. Hie</w:t>
      </w:r>
      <w:r w:rsidR="00407E46">
        <w:t>r</w:t>
      </w:r>
      <w:r w:rsidR="00407E46">
        <w:t xml:space="preserve">von können die Länder abweichen. In NRW hat der </w:t>
      </w:r>
      <w:r w:rsidR="005A6827">
        <w:t>G</w:t>
      </w:r>
      <w:r w:rsidR="00407E46">
        <w:t xml:space="preserve">esetzgeber </w:t>
      </w:r>
      <w:r w:rsidR="005A6827">
        <w:t xml:space="preserve">im Zuge des sog. </w:t>
      </w:r>
      <w:proofErr w:type="gramStart"/>
      <w:r w:rsidR="005A6827">
        <w:t>Bürokr</w:t>
      </w:r>
      <w:r w:rsidR="005A6827">
        <w:t>a</w:t>
      </w:r>
      <w:r w:rsidR="005A6827">
        <w:t>tieabbaugesetz</w:t>
      </w:r>
      <w:proofErr w:type="gramEnd"/>
      <w:r w:rsidR="005A6827">
        <w:t xml:space="preserve"> II von dieser Option Gebrauch gemacht und </w:t>
      </w:r>
      <w:r w:rsidR="00407E46">
        <w:t>in § 110 Justizgesetz</w:t>
      </w:r>
      <w:r w:rsidR="005A6827">
        <w:t xml:space="preserve"> NW (JustG) für die meisten Verwaltungsbereiche das behördliche Vorverfahren </w:t>
      </w:r>
      <w:r w:rsidR="007769C3">
        <w:t>zeitlich befristet ausgesetzt</w:t>
      </w:r>
      <w:r w:rsidR="006962AF">
        <w:rPr>
          <w:rStyle w:val="Funotenzeichen"/>
        </w:rPr>
        <w:footnoteReference w:id="1"/>
      </w:r>
      <w:r w:rsidR="007769C3">
        <w:t xml:space="preserve">. Nach dieser noch geltenden Regelung </w:t>
      </w:r>
      <w:r w:rsidR="00613AA6">
        <w:t>sind für</w:t>
      </w:r>
      <w:r w:rsidR="007769C3">
        <w:t xml:space="preserve"> Verwaltungsakte, die in der Zeit zwischen dem 01.11.2007 und dem 31.12.2014 </w:t>
      </w:r>
      <w:r w:rsidR="00613AA6">
        <w:t>bekannt gegeben werden, keine Wide</w:t>
      </w:r>
      <w:r w:rsidR="00613AA6">
        <w:t>r</w:t>
      </w:r>
      <w:r w:rsidR="00613AA6">
        <w:t>spruchsverfahren zulässig.</w:t>
      </w:r>
    </w:p>
    <w:p w:rsidR="00FC7226" w:rsidRDefault="00FC7226" w:rsidP="003B3E23">
      <w:pPr>
        <w:spacing w:line="276" w:lineRule="auto"/>
        <w:jc w:val="both"/>
      </w:pPr>
    </w:p>
    <w:p w:rsidR="00856D91" w:rsidRPr="00DF7F6E" w:rsidRDefault="00856D91" w:rsidP="003B3E23">
      <w:pPr>
        <w:spacing w:line="276" w:lineRule="auto"/>
        <w:jc w:val="both"/>
      </w:pPr>
      <w:r w:rsidRPr="00DF7F6E">
        <w:t xml:space="preserve">Die </w:t>
      </w:r>
      <w:r w:rsidR="00C457EC" w:rsidRPr="00DF7F6E">
        <w:t xml:space="preserve">noch </w:t>
      </w:r>
      <w:r w:rsidRPr="00DF7F6E">
        <w:t>geltenden Regelungen in § 110 JustG sind wie folgt strukturiert:</w:t>
      </w:r>
    </w:p>
    <w:p w:rsidR="00FC7226" w:rsidRPr="00DF7F6E" w:rsidRDefault="00FC7226" w:rsidP="003B3E23">
      <w:pPr>
        <w:spacing w:line="276" w:lineRule="auto"/>
        <w:jc w:val="both"/>
      </w:pPr>
    </w:p>
    <w:p w:rsidR="00856D91" w:rsidRPr="00DF7F6E" w:rsidRDefault="00856D91" w:rsidP="003B3E23">
      <w:pPr>
        <w:spacing w:line="276" w:lineRule="auto"/>
        <w:jc w:val="both"/>
      </w:pPr>
      <w:r w:rsidRPr="00DF7F6E">
        <w:t>Absatz 1 Satz 1 regelt</w:t>
      </w:r>
      <w:r w:rsidR="005242E4" w:rsidRPr="00DF7F6E">
        <w:t xml:space="preserve"> den landesrechtlichen Grundsatz</w:t>
      </w:r>
      <w:r w:rsidRPr="00DF7F6E">
        <w:t xml:space="preserve">, dass </w:t>
      </w:r>
      <w:r w:rsidR="005242E4" w:rsidRPr="00DF7F6E">
        <w:t>es vor Erhebung einer Anfec</w:t>
      </w:r>
      <w:r w:rsidR="005242E4" w:rsidRPr="00DF7F6E">
        <w:t>h</w:t>
      </w:r>
      <w:r w:rsidR="005242E4" w:rsidRPr="00DF7F6E">
        <w:t xml:space="preserve">tungsklage </w:t>
      </w:r>
      <w:r w:rsidRPr="00DF7F6E">
        <w:t xml:space="preserve">abweichend von § 68 Abs. 1 S. 1 VwGO </w:t>
      </w:r>
      <w:r w:rsidR="005242E4" w:rsidRPr="00DF7F6E">
        <w:t>keiner Nachprüfung in einem Vorverfa</w:t>
      </w:r>
      <w:r w:rsidR="005242E4" w:rsidRPr="00DF7F6E">
        <w:t>h</w:t>
      </w:r>
      <w:r w:rsidR="005242E4" w:rsidRPr="00DF7F6E">
        <w:t>ren bedarf, wenn der Verwaltungsakt während des Zeitraums</w:t>
      </w:r>
      <w:r w:rsidR="00FC7226" w:rsidRPr="00DF7F6E">
        <w:t xml:space="preserve"> vom 1. </w:t>
      </w:r>
      <w:r w:rsidR="005242E4" w:rsidRPr="00DF7F6E">
        <w:t xml:space="preserve">November 2007 bis 31. Dezember </w:t>
      </w:r>
      <w:r w:rsidR="00FC7226" w:rsidRPr="00DF7F6E">
        <w:t>2014 bekannt gegeben worden ist. Absatz 1 Satz 2 enthält einen entsprechenden Grundsatz für die Verpflichtungsklage.</w:t>
      </w:r>
    </w:p>
    <w:p w:rsidR="003B3E23" w:rsidRPr="00DF7F6E" w:rsidRDefault="003B3E23" w:rsidP="003B3E23">
      <w:pPr>
        <w:spacing w:line="276" w:lineRule="auto"/>
        <w:jc w:val="both"/>
      </w:pPr>
    </w:p>
    <w:p w:rsidR="00FC7226" w:rsidRDefault="00FC7226" w:rsidP="003B3E23">
      <w:pPr>
        <w:spacing w:line="276" w:lineRule="auto"/>
        <w:jc w:val="both"/>
      </w:pPr>
      <w:r w:rsidRPr="00DF7F6E">
        <w:t xml:space="preserve">Absatz 2 regelt </w:t>
      </w:r>
      <w:r w:rsidR="00FC611F" w:rsidRPr="00DF7F6E">
        <w:t>für verschiedene, im Einzelnen aufgeführte Verwaltungsbereiche Ausnahmen von dem landesrechtlichen Grundsatz des Absatz 1.</w:t>
      </w:r>
      <w:r w:rsidR="005F64BF" w:rsidRPr="00DF7F6E">
        <w:t xml:space="preserve"> In allen Bereichen, die hier </w:t>
      </w:r>
      <w:r w:rsidR="00C64848" w:rsidRPr="00DF7F6E">
        <w:t xml:space="preserve">enumerativ </w:t>
      </w:r>
      <w:r w:rsidR="005F64BF" w:rsidRPr="00DF7F6E">
        <w:lastRenderedPageBreak/>
        <w:t>aufgezählt sind, ist demnach ein Widerspruchsverfahren durchzuführen. Die Verbandsgese</w:t>
      </w:r>
      <w:r w:rsidR="005F64BF" w:rsidRPr="00DF7F6E">
        <w:t>t</w:t>
      </w:r>
      <w:r w:rsidR="005F64BF" w:rsidRPr="00DF7F6E">
        <w:t xml:space="preserve">ze sind in dem Katalog des </w:t>
      </w:r>
      <w:proofErr w:type="gramStart"/>
      <w:r w:rsidR="005F64BF" w:rsidRPr="00DF7F6E">
        <w:t>Absatz</w:t>
      </w:r>
      <w:proofErr w:type="gramEnd"/>
      <w:r w:rsidR="005F64BF" w:rsidRPr="00DF7F6E">
        <w:t xml:space="preserve"> 2 nicht aufgeführt. Bereits dieser Befund hat </w:t>
      </w:r>
      <w:r w:rsidR="004B57F8" w:rsidRPr="00DF7F6E">
        <w:t>zwingend zur Folge, dass nach dem geltenden Recht (bis Ende 2014) keine Widersprüche gegen Be</w:t>
      </w:r>
      <w:r w:rsidR="004B57F8" w:rsidRPr="00DF7F6E">
        <w:t>i</w:t>
      </w:r>
      <w:r w:rsidR="004B57F8" w:rsidRPr="00DF7F6E">
        <w:t>tragsbescheide der Verbände zulässig sind. Denn in Ermangelung eines Ausnahmetatb</w:t>
      </w:r>
      <w:r w:rsidR="004B57F8" w:rsidRPr="00DF7F6E">
        <w:t>e</w:t>
      </w:r>
      <w:r w:rsidR="004B57F8" w:rsidRPr="00DF7F6E">
        <w:t>standes gilt der Grundsatz nach Absatz 1 Satz 1.</w:t>
      </w:r>
    </w:p>
    <w:p w:rsidR="00FA0B70" w:rsidRPr="00DF7F6E" w:rsidRDefault="00FA0B70" w:rsidP="003B3E23">
      <w:pPr>
        <w:spacing w:line="276" w:lineRule="auto"/>
        <w:jc w:val="both"/>
      </w:pPr>
      <w:bookmarkStart w:id="0" w:name="_GoBack"/>
      <w:bookmarkEnd w:id="0"/>
    </w:p>
    <w:p w:rsidR="00FC611F" w:rsidRPr="00DF7F6E" w:rsidRDefault="00FC611F" w:rsidP="003B3E23">
      <w:pPr>
        <w:spacing w:line="276" w:lineRule="auto"/>
        <w:jc w:val="both"/>
      </w:pPr>
      <w:r w:rsidRPr="00DF7F6E">
        <w:t xml:space="preserve">Absatz 3 regelt die hier nicht näher zu betrachtende Sondersituation </w:t>
      </w:r>
      <w:r w:rsidR="00FE7917" w:rsidRPr="00DF7F6E">
        <w:t>von Rechtsbehelfen Dritter bei Verwaltungsakten, die einen anderen begünstigen.</w:t>
      </w:r>
    </w:p>
    <w:p w:rsidR="003B3E23" w:rsidRPr="00DF7F6E" w:rsidRDefault="003B3E23" w:rsidP="003B3E23">
      <w:pPr>
        <w:spacing w:line="276" w:lineRule="auto"/>
        <w:jc w:val="both"/>
      </w:pPr>
    </w:p>
    <w:p w:rsidR="009E0999" w:rsidRPr="00DF7F6E" w:rsidRDefault="00FE7917" w:rsidP="003B3E23">
      <w:pPr>
        <w:spacing w:line="276" w:lineRule="auto"/>
        <w:jc w:val="both"/>
      </w:pPr>
      <w:r w:rsidRPr="00DF7F6E">
        <w:t>Absatz 4 Satz 1 lautet: „Soweit landesgesetzliche Bestimmungen die Durchführung eines Vorverfahrens in sonstigen Bereichen vorsehen, finden diese Regelungen innerhalb des in Absatz 1 bestimmten Zeitraums keine Anwendung.</w:t>
      </w:r>
      <w:r w:rsidR="00EA0132" w:rsidRPr="00DF7F6E">
        <w:t>“</w:t>
      </w:r>
      <w:r w:rsidR="00A01B06" w:rsidRPr="00DF7F6E">
        <w:t xml:space="preserve"> </w:t>
      </w:r>
      <w:r w:rsidR="00C64848" w:rsidRPr="00DF7F6E">
        <w:t>Dieser, wie sich zeigen wird, .lediglich klarstellenden</w:t>
      </w:r>
      <w:r w:rsidR="00A01B06" w:rsidRPr="00DF7F6E">
        <w:t xml:space="preserve"> </w:t>
      </w:r>
      <w:r w:rsidR="00C64848" w:rsidRPr="00DF7F6E">
        <w:t xml:space="preserve">(und damit überflüssigen) </w:t>
      </w:r>
      <w:r w:rsidR="00A01B06" w:rsidRPr="00DF7F6E">
        <w:t xml:space="preserve">Regelung hätte es nicht bedurft, denn </w:t>
      </w:r>
      <w:r w:rsidR="00F44608" w:rsidRPr="00DF7F6E">
        <w:t>das JustG setzt sich in Bezug auf prozessrechtliche Fragestellungen im Anwendungsbereich der Ve</w:t>
      </w:r>
      <w:r w:rsidR="00F44608" w:rsidRPr="00DF7F6E">
        <w:t>r</w:t>
      </w:r>
      <w:r w:rsidR="00F44608" w:rsidRPr="00DF7F6E">
        <w:t>waltungsgerichtsordnung zweifellos als Spezialgesetz gegenüber divergierenden Vorschri</w:t>
      </w:r>
      <w:r w:rsidR="00F44608" w:rsidRPr="00DF7F6E">
        <w:t>f</w:t>
      </w:r>
      <w:r w:rsidR="00F44608" w:rsidRPr="00DF7F6E">
        <w:t>ten anderer La</w:t>
      </w:r>
      <w:r w:rsidR="00E21189" w:rsidRPr="00DF7F6E">
        <w:t>ndesgesetze durch. Das b</w:t>
      </w:r>
      <w:r w:rsidR="00F44608" w:rsidRPr="00DF7F6E">
        <w:t xml:space="preserve">edeutet: Auch ohne diese Regelung in Absatz 4 Satz 1 hätte </w:t>
      </w:r>
      <w:r w:rsidR="00E96AC3" w:rsidRPr="00DF7F6E">
        <w:t xml:space="preserve">– nach zutreffender Ansicht – </w:t>
      </w:r>
      <w:r w:rsidR="00880FD5" w:rsidRPr="00DF7F6E">
        <w:t>ein</w:t>
      </w:r>
      <w:r w:rsidR="00F44608" w:rsidRPr="00DF7F6E">
        <w:t xml:space="preserve"> Widerspruchsverfahren </w:t>
      </w:r>
      <w:r w:rsidR="00880FD5" w:rsidRPr="00DF7F6E">
        <w:t xml:space="preserve">auf der Grundlage der </w:t>
      </w:r>
      <w:r w:rsidR="00F44608" w:rsidRPr="00DF7F6E">
        <w:t xml:space="preserve">Vorschriften </w:t>
      </w:r>
      <w:r w:rsidR="00880FD5" w:rsidRPr="00DF7F6E">
        <w:t>in den</w:t>
      </w:r>
      <w:r w:rsidR="00F44608" w:rsidRPr="00DF7F6E">
        <w:t xml:space="preserve"> Verbandsgesetze </w:t>
      </w:r>
      <w:r w:rsidR="00880FD5" w:rsidRPr="00DF7F6E">
        <w:t xml:space="preserve">zulässiger Weise </w:t>
      </w:r>
      <w:r w:rsidR="00F44608" w:rsidRPr="00DF7F6E">
        <w:rPr>
          <w:i/>
        </w:rPr>
        <w:t>n</w:t>
      </w:r>
      <w:r w:rsidR="00880FD5" w:rsidRPr="00DF7F6E">
        <w:rPr>
          <w:i/>
        </w:rPr>
        <w:t>icht</w:t>
      </w:r>
      <w:r w:rsidR="00880FD5" w:rsidRPr="00DF7F6E">
        <w:t xml:space="preserve"> durchgeführt werden können, da § 110 Abs. 1 Satz 1 JustG </w:t>
      </w:r>
      <w:r w:rsidR="008D0C61" w:rsidRPr="00DF7F6E">
        <w:t>– vorbehaltlich der</w:t>
      </w:r>
      <w:r w:rsidR="00880FD5" w:rsidRPr="00DF7F6E">
        <w:t xml:space="preserve"> </w:t>
      </w:r>
      <w:r w:rsidR="00E96AC3" w:rsidRPr="00DF7F6E">
        <w:t xml:space="preserve">in Absatz 2 </w:t>
      </w:r>
      <w:r w:rsidR="008D0C61" w:rsidRPr="00DF7F6E">
        <w:t xml:space="preserve">explizit </w:t>
      </w:r>
      <w:r w:rsidR="008D0C61" w:rsidRPr="00DF7F6E">
        <w:t>geregelten</w:t>
      </w:r>
      <w:r w:rsidR="00E96AC3" w:rsidRPr="00DF7F6E">
        <w:t xml:space="preserve"> Ausnahmen </w:t>
      </w:r>
      <w:r w:rsidR="008D0C61" w:rsidRPr="00DF7F6E">
        <w:t>– den</w:t>
      </w:r>
      <w:r w:rsidR="00E96AC3" w:rsidRPr="00DF7F6E">
        <w:t xml:space="preserve"> </w:t>
      </w:r>
      <w:r w:rsidR="008D0C61" w:rsidRPr="00DF7F6E">
        <w:t xml:space="preserve">allgemeinen </w:t>
      </w:r>
      <w:r w:rsidR="00E96AC3" w:rsidRPr="00DF7F6E">
        <w:t>Grundsatz errichtet, dass kein Vorverfahren durchzuführen ist.</w:t>
      </w:r>
      <w:r w:rsidR="00A61D2E" w:rsidRPr="00DF7F6E">
        <w:t xml:space="preserve"> In dieser Sichtweise ist die Regelung in § 110 Abs. 4 Satz 1 nicht konstitutiv für die Aussetzung des Widerspruchsverfahrens z.B. in den Verbandsgesetzen, sondern hat nur deklaratorische, klarstellende Funktion. Dieses Verständnis </w:t>
      </w:r>
      <w:r w:rsidR="00C457EC" w:rsidRPr="00DF7F6E">
        <w:t xml:space="preserve">wird im Weiteren </w:t>
      </w:r>
      <w:r w:rsidR="00A61D2E" w:rsidRPr="00DF7F6E">
        <w:t>vorausgesetzt</w:t>
      </w:r>
      <w:r w:rsidR="00C457EC" w:rsidRPr="00DF7F6E">
        <w:t>.</w:t>
      </w:r>
    </w:p>
    <w:p w:rsidR="00C457EC" w:rsidRPr="00DF7F6E" w:rsidRDefault="00C457EC" w:rsidP="003B3E23">
      <w:pPr>
        <w:spacing w:line="276" w:lineRule="auto"/>
        <w:jc w:val="both"/>
      </w:pPr>
    </w:p>
    <w:p w:rsidR="00E21189" w:rsidRPr="00DF7F6E" w:rsidRDefault="00E21189" w:rsidP="003B3E23">
      <w:pPr>
        <w:spacing w:line="276" w:lineRule="auto"/>
        <w:jc w:val="both"/>
      </w:pPr>
      <w:r w:rsidRPr="00DF7F6E">
        <w:t xml:space="preserve">Im jetzt vorliegenden Entwurf eines Gesetzes zur Änderung des Justizgesetzes bleibt es bei der </w:t>
      </w:r>
      <w:r w:rsidRPr="00DF7F6E">
        <w:t xml:space="preserve">bisherigen </w:t>
      </w:r>
      <w:r w:rsidRPr="00DF7F6E">
        <w:t>Regel-Ausnahme-Struktur des § 110. Nach wie vor bestimmt Absatz 1 den Grundsatz, wonach generell kein Vorverfahren durchzuführen ist</w:t>
      </w:r>
      <w:r w:rsidR="001B2B13" w:rsidRPr="00DF7F6E">
        <w:t xml:space="preserve">, wobei </w:t>
      </w:r>
      <w:r w:rsidR="00DE0804" w:rsidRPr="00DF7F6E">
        <w:t>– insoweit neu – die befristete Geltung entfallen ist</w:t>
      </w:r>
      <w:r w:rsidRPr="00DF7F6E">
        <w:t xml:space="preserve">. Absatz 2 der Vorschrift </w:t>
      </w:r>
      <w:r w:rsidR="001B2B13" w:rsidRPr="00DF7F6E">
        <w:t>führt die Ausnahmebereiche auf. Di</w:t>
      </w:r>
      <w:r w:rsidR="001B2B13" w:rsidRPr="00DF7F6E">
        <w:t>e</w:t>
      </w:r>
      <w:r w:rsidR="001B2B13" w:rsidRPr="00DF7F6E">
        <w:t xml:space="preserve">ser Katalog ist erheblich erweitert worden. Die Verbandsgesetze werden in Absatz 2 – wie bisher – nicht angesprochen. </w:t>
      </w:r>
      <w:r w:rsidR="00DE0804" w:rsidRPr="00DF7F6E">
        <w:t>Bereits hieraus folgt nach hiesigem Verständnis, dass im Ge</w:t>
      </w:r>
      <w:r w:rsidR="00DE0804" w:rsidRPr="00DF7F6E">
        <w:t>l</w:t>
      </w:r>
      <w:r w:rsidR="00DE0804" w:rsidRPr="00DF7F6E">
        <w:t xml:space="preserve">tungsbereich der Verbandsgesetze das Widerspruchsverfahren weiterhin – allerdings jetzt unbefristet – nicht durchzuführen ist. </w:t>
      </w:r>
      <w:r w:rsidR="00BB190F" w:rsidRPr="00DF7F6E">
        <w:t xml:space="preserve">Absatz 3 der Vorschrift kann auch in der vorliegenden Novelle wie bisher außer Betracht bleiben, weil hier nur die Rechtsbehelfe Dritter geregelt werden. Die bisherige, nach richtigem Verständnis nur deklaratorisch wirkende Regelung </w:t>
      </w:r>
      <w:r w:rsidR="0051678D" w:rsidRPr="00DF7F6E">
        <w:t xml:space="preserve">in Absatz 4 </w:t>
      </w:r>
      <w:r w:rsidR="00BF3791" w:rsidRPr="00DF7F6E">
        <w:t>des geltenden Gesetzes</w:t>
      </w:r>
      <w:r w:rsidR="00BF3791" w:rsidRPr="00DF7F6E">
        <w:t xml:space="preserve"> </w:t>
      </w:r>
      <w:r w:rsidR="0051678D" w:rsidRPr="00DF7F6E">
        <w:t>mit dem Verweis auf in anderen Gesetzen geregelte W</w:t>
      </w:r>
      <w:r w:rsidR="0051678D" w:rsidRPr="00DF7F6E">
        <w:t>i</w:t>
      </w:r>
      <w:r w:rsidR="0051678D" w:rsidRPr="00DF7F6E">
        <w:t>derspruchsverfahren, ist in der Novelle nicht wieder zu finden, sondern wurde gestrichen.</w:t>
      </w:r>
    </w:p>
    <w:p w:rsidR="009E0999" w:rsidRPr="00DF7F6E" w:rsidRDefault="009E0999" w:rsidP="003B3E23">
      <w:pPr>
        <w:spacing w:line="276" w:lineRule="auto"/>
        <w:jc w:val="both"/>
      </w:pPr>
    </w:p>
    <w:p w:rsidR="009E0999" w:rsidRDefault="00DF7F6E" w:rsidP="003B3E23">
      <w:pPr>
        <w:spacing w:line="276" w:lineRule="auto"/>
        <w:jc w:val="both"/>
      </w:pPr>
      <w:r>
        <w:t>Im MKULNV</w:t>
      </w:r>
      <w:r w:rsidR="00355506">
        <w:t xml:space="preserve"> und im federführenden MIK herrscht </w:t>
      </w:r>
      <w:proofErr w:type="spellStart"/>
      <w:r w:rsidR="00355506">
        <w:t>die</w:t>
      </w:r>
      <w:r w:rsidR="00BF3791" w:rsidRPr="00DF7F6E">
        <w:t>r</w:t>
      </w:r>
      <w:proofErr w:type="spellEnd"/>
      <w:r w:rsidR="00BF3791" w:rsidRPr="00DF7F6E">
        <w:t xml:space="preserve"> Überzeugung, durch die Streichung der Regelung des Absatz 4 würden die Widerspruchsverfahren nach den Sondergesetzen </w:t>
      </w:r>
      <w:r w:rsidR="00D260FC" w:rsidRPr="00DF7F6E">
        <w:t xml:space="preserve">der Wasserverbände </w:t>
      </w:r>
      <w:r w:rsidR="00BF3791" w:rsidRPr="00DF7F6E">
        <w:t xml:space="preserve">wieder aufleben. Dieser Sichtweise kann jedoch nicht gefolgt werden. </w:t>
      </w:r>
      <w:r w:rsidR="00355506">
        <w:t>D</w:t>
      </w:r>
      <w:r w:rsidR="003D11ED" w:rsidRPr="00DF7F6E">
        <w:t xml:space="preserve">agegen steht das spezialgesetzliche Regel-Ausnahme-Verhältnis von § 110 Abs. 1 und 2 JustG. Gegenüber den Verbandsgesetzen sind diese Vorschriften </w:t>
      </w:r>
      <w:proofErr w:type="spellStart"/>
      <w:r w:rsidR="003D11ED" w:rsidRPr="00355506">
        <w:rPr>
          <w:i/>
        </w:rPr>
        <w:t>leges</w:t>
      </w:r>
      <w:proofErr w:type="spellEnd"/>
      <w:r w:rsidR="003D11ED" w:rsidRPr="00355506">
        <w:rPr>
          <w:i/>
        </w:rPr>
        <w:t xml:space="preserve"> </w:t>
      </w:r>
      <w:proofErr w:type="spellStart"/>
      <w:r w:rsidR="003D11ED" w:rsidRPr="00355506">
        <w:rPr>
          <w:i/>
        </w:rPr>
        <w:t>speciales</w:t>
      </w:r>
      <w:proofErr w:type="spellEnd"/>
      <w:r w:rsidR="00355506">
        <w:t>. Da in § </w:t>
      </w:r>
      <w:r w:rsidR="00394D9E" w:rsidRPr="00DF7F6E">
        <w:t>110 Abs. 2 JustG keine Ausnahmen für die Sondergesetze der Verbände aufgeführt we</w:t>
      </w:r>
      <w:r w:rsidR="00394D9E" w:rsidRPr="00DF7F6E">
        <w:t>r</w:t>
      </w:r>
      <w:r w:rsidR="00394D9E" w:rsidRPr="00DF7F6E">
        <w:t>den, bleibt es bei dem Grundsatz des Wegfalls des Wi</w:t>
      </w:r>
      <w:r w:rsidR="005A246B">
        <w:t>derspruchsverfahrens nach dem § </w:t>
      </w:r>
      <w:r w:rsidR="00394D9E" w:rsidRPr="00DF7F6E">
        <w:t xml:space="preserve">110 Abs. 1 Satz 1 JustG. Darüber hinaus verdrängt die Novelle des Justizgesetzes </w:t>
      </w:r>
      <w:r w:rsidR="003716F4" w:rsidRPr="00DF7F6E">
        <w:t>als die jüng</w:t>
      </w:r>
      <w:r w:rsidR="003716F4" w:rsidRPr="00DF7F6E">
        <w:t>e</w:t>
      </w:r>
      <w:r w:rsidR="003716F4" w:rsidRPr="00DF7F6E">
        <w:t xml:space="preserve">re </w:t>
      </w:r>
      <w:proofErr w:type="spellStart"/>
      <w:r w:rsidR="003716F4" w:rsidRPr="00DF7F6E">
        <w:t>Legislatur</w:t>
      </w:r>
      <w:proofErr w:type="spellEnd"/>
      <w:r w:rsidR="003716F4" w:rsidRPr="00DF7F6E">
        <w:t xml:space="preserve"> die abweichenden Vorschriften der Verbandsgesetze nach</w:t>
      </w:r>
      <w:r w:rsidR="00394D9E" w:rsidRPr="00DF7F6E">
        <w:t xml:space="preserve"> der sog. „Lex-</w:t>
      </w:r>
      <w:proofErr w:type="spellStart"/>
      <w:r w:rsidR="00394D9E" w:rsidRPr="00DF7F6E">
        <w:t>posterior</w:t>
      </w:r>
      <w:proofErr w:type="spellEnd"/>
      <w:r w:rsidR="00394D9E" w:rsidRPr="00DF7F6E">
        <w:t>-Regel“</w:t>
      </w:r>
      <w:r w:rsidR="003716F4" w:rsidRPr="00DF7F6E">
        <w:t>. Schließlich enthält auch die Begründung des Gesetzesentwurfes keinen Hinweis darauf, dass mit dieser Novelle die Wiedereinführung des Widerspruchsverfahrens bei den Wasserverbänden beabsichtigt wird.</w:t>
      </w:r>
      <w:r w:rsidR="00647C88" w:rsidRPr="00DF7F6E">
        <w:t xml:space="preserve"> </w:t>
      </w:r>
    </w:p>
    <w:p w:rsidR="001379E2" w:rsidRDefault="001379E2" w:rsidP="003B3E23">
      <w:pPr>
        <w:spacing w:line="276" w:lineRule="auto"/>
        <w:jc w:val="both"/>
      </w:pPr>
    </w:p>
    <w:p w:rsidR="009E0999" w:rsidRDefault="009E0999" w:rsidP="003B3E23">
      <w:pPr>
        <w:spacing w:line="276" w:lineRule="auto"/>
        <w:jc w:val="both"/>
      </w:pPr>
    </w:p>
    <w:p w:rsidR="009E0999" w:rsidRPr="001379E2" w:rsidRDefault="001379E2" w:rsidP="001379E2">
      <w:pPr>
        <w:spacing w:line="276" w:lineRule="auto"/>
        <w:ind w:left="567" w:hanging="567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710E23">
        <w:rPr>
          <w:b/>
        </w:rPr>
        <w:t>Auswirkung</w:t>
      </w:r>
      <w:r>
        <w:rPr>
          <w:b/>
        </w:rPr>
        <w:t xml:space="preserve"> der kontroversen Sichtweisen</w:t>
      </w:r>
    </w:p>
    <w:p w:rsidR="009E0999" w:rsidRDefault="009E0999" w:rsidP="003B3E23">
      <w:pPr>
        <w:spacing w:line="276" w:lineRule="auto"/>
        <w:jc w:val="both"/>
      </w:pPr>
    </w:p>
    <w:p w:rsidR="009C22C1" w:rsidRDefault="009C22C1" w:rsidP="003B3E23">
      <w:pPr>
        <w:spacing w:line="276" w:lineRule="auto"/>
        <w:jc w:val="both"/>
      </w:pPr>
      <w:r w:rsidRPr="00B63C9B">
        <w:t xml:space="preserve">Die Kontroverse mit dem MKULNV wird ausgetragen </w:t>
      </w:r>
      <w:r w:rsidR="009658A0">
        <w:t>und entschieden</w:t>
      </w:r>
      <w:r w:rsidR="009658A0">
        <w:t xml:space="preserve"> </w:t>
      </w:r>
      <w:r w:rsidRPr="00B63C9B">
        <w:t>werden müssen</w:t>
      </w:r>
      <w:r w:rsidR="00B63C9B">
        <w:t>.</w:t>
      </w:r>
      <w:r w:rsidRPr="00B63C9B">
        <w:t xml:space="preserve"> Die </w:t>
      </w:r>
      <w:r w:rsidR="00B63C9B">
        <w:t>V</w:t>
      </w:r>
      <w:r w:rsidRPr="00B63C9B">
        <w:t>erbände benöti</w:t>
      </w:r>
      <w:r>
        <w:t>gen Recht</w:t>
      </w:r>
      <w:r w:rsidR="00574324">
        <w:t>s</w:t>
      </w:r>
      <w:r>
        <w:t>sicherheit im Hinbl</w:t>
      </w:r>
      <w:r w:rsidR="00B63C9B">
        <w:t xml:space="preserve">ick auf ihre Beitragsbescheide ab dem 01.01.2015. Schon die Rechtsbehelfsbelehrungen stellen die Weichen für den Rechtsschutz. </w:t>
      </w:r>
      <w:r w:rsidR="00C74825">
        <w:t>Wird hier wie bisher auf die Verwaltungsgerichte verwiesen, wären bei zutreffender Auffa</w:t>
      </w:r>
      <w:r w:rsidR="00C74825">
        <w:t>s</w:t>
      </w:r>
      <w:r w:rsidR="00C74825">
        <w:t>sung des MKULNV die ohne Widerspruchsverfahren eingereichten Anfechtungsklagen unz</w:t>
      </w:r>
      <w:r w:rsidR="00C74825">
        <w:t>u</w:t>
      </w:r>
      <w:r w:rsidR="00C74825">
        <w:t xml:space="preserve">lässig und würden kostenpflichtig abgewiesen. </w:t>
      </w:r>
      <w:r w:rsidR="009658A0">
        <w:t>Wenn</w:t>
      </w:r>
      <w:r w:rsidR="0047417A">
        <w:t xml:space="preserve"> aber</w:t>
      </w:r>
      <w:r w:rsidR="00C74825">
        <w:t xml:space="preserve"> die Rechtsbehelfsbelehrung eines Beitragsbescheides </w:t>
      </w:r>
      <w:r w:rsidR="00E369D6">
        <w:t xml:space="preserve">künftig </w:t>
      </w:r>
      <w:r w:rsidR="00C74825">
        <w:t xml:space="preserve">auf die </w:t>
      </w:r>
      <w:r w:rsidR="00AF6686">
        <w:t xml:space="preserve">Notwendigkeit der </w:t>
      </w:r>
      <w:r w:rsidR="00C74825">
        <w:t>Durchführung eine</w:t>
      </w:r>
      <w:r w:rsidR="00AF6686">
        <w:t>s Widerspruchsve</w:t>
      </w:r>
      <w:r w:rsidR="00AF6686">
        <w:t>r</w:t>
      </w:r>
      <w:r w:rsidR="00AF6686">
        <w:t>fahrens</w:t>
      </w:r>
      <w:r w:rsidR="0047417A">
        <w:t xml:space="preserve"> </w:t>
      </w:r>
      <w:r w:rsidR="00AF6686">
        <w:t xml:space="preserve">verweist und einem </w:t>
      </w:r>
      <w:r w:rsidR="0047417A">
        <w:t xml:space="preserve">daraufhin eingelegten </w:t>
      </w:r>
      <w:r w:rsidR="00AF6686">
        <w:t xml:space="preserve">Widerspruch nicht abgeholfen wird, droht die dagegen gerichtete Anfechtungsklage als </w:t>
      </w:r>
      <w:proofErr w:type="spellStart"/>
      <w:r w:rsidR="00AF6686">
        <w:t>verfristet</w:t>
      </w:r>
      <w:proofErr w:type="spellEnd"/>
      <w:r w:rsidR="00AF6686">
        <w:t xml:space="preserve"> abgewiesen zu werden, wenn die Verwaltungsgerichte </w:t>
      </w:r>
      <w:r w:rsidR="0047417A">
        <w:t xml:space="preserve">zur </w:t>
      </w:r>
      <w:r w:rsidR="00AF6686">
        <w:t xml:space="preserve">Auffassung </w:t>
      </w:r>
      <w:r w:rsidR="0047417A">
        <w:t>gelangen, dass</w:t>
      </w:r>
      <w:r w:rsidR="00AF6686">
        <w:t xml:space="preserve"> </w:t>
      </w:r>
      <w:r w:rsidR="00E369D6">
        <w:t>durch die Novelle keine Wiedereinfü</w:t>
      </w:r>
      <w:r w:rsidR="00E369D6">
        <w:t>h</w:t>
      </w:r>
      <w:r w:rsidR="00E369D6">
        <w:t xml:space="preserve">rung des Widerspruchsverfahrens </w:t>
      </w:r>
      <w:r w:rsidR="0047417A">
        <w:t>bewirkt wurde</w:t>
      </w:r>
      <w:r w:rsidR="00E369D6">
        <w:t>.</w:t>
      </w:r>
    </w:p>
    <w:p w:rsidR="009658A0" w:rsidRDefault="009658A0" w:rsidP="003B3E23">
      <w:pPr>
        <w:spacing w:line="276" w:lineRule="auto"/>
        <w:jc w:val="both"/>
      </w:pPr>
    </w:p>
    <w:p w:rsidR="009658A0" w:rsidRDefault="009658A0" w:rsidP="003B3E23">
      <w:pPr>
        <w:spacing w:line="276" w:lineRule="auto"/>
        <w:jc w:val="both"/>
      </w:pPr>
    </w:p>
    <w:p w:rsidR="009658A0" w:rsidRPr="009658A0" w:rsidRDefault="009658A0" w:rsidP="009658A0">
      <w:pPr>
        <w:spacing w:line="276" w:lineRule="auto"/>
        <w:ind w:left="567" w:hanging="567"/>
        <w:jc w:val="both"/>
        <w:rPr>
          <w:b/>
        </w:rPr>
      </w:pPr>
      <w:r w:rsidRPr="009658A0">
        <w:rPr>
          <w:b/>
        </w:rPr>
        <w:t>3.</w:t>
      </w:r>
      <w:r w:rsidRPr="009658A0">
        <w:rPr>
          <w:b/>
        </w:rPr>
        <w:tab/>
      </w:r>
      <w:r>
        <w:rPr>
          <w:b/>
        </w:rPr>
        <w:t>Abstimmung mit den übrigen Verbänden</w:t>
      </w:r>
    </w:p>
    <w:p w:rsidR="009658A0" w:rsidRDefault="009658A0" w:rsidP="003B3E23">
      <w:pPr>
        <w:spacing w:line="276" w:lineRule="auto"/>
        <w:jc w:val="both"/>
      </w:pPr>
    </w:p>
    <w:p w:rsidR="009E0999" w:rsidRDefault="00AE465B" w:rsidP="003B3E23">
      <w:pPr>
        <w:spacing w:line="276" w:lineRule="auto"/>
        <w:jc w:val="both"/>
      </w:pPr>
      <w:r>
        <w:t>Die Fragestellung ist Gegenstand der Beratungen anlässlich des Treffens der Verbandsjuri</w:t>
      </w:r>
      <w:r>
        <w:t>s</w:t>
      </w:r>
      <w:r>
        <w:t xml:space="preserve">tInnen am 27.08.2014. </w:t>
      </w:r>
      <w:r w:rsidR="00710E23">
        <w:t>In Abhängigkeit von dem Ergebnis der Diskussion ist das klärende Gespräch mit dem MKULNV zu suchen.</w:t>
      </w:r>
    </w:p>
    <w:p w:rsidR="00710E23" w:rsidRDefault="00710E23" w:rsidP="003B3E23">
      <w:pPr>
        <w:spacing w:line="276" w:lineRule="auto"/>
        <w:jc w:val="both"/>
      </w:pPr>
    </w:p>
    <w:p w:rsidR="00710E23" w:rsidRDefault="00710E23" w:rsidP="003B3E23">
      <w:pPr>
        <w:spacing w:line="276" w:lineRule="auto"/>
        <w:jc w:val="both"/>
      </w:pPr>
    </w:p>
    <w:p w:rsidR="00140414" w:rsidRDefault="00140414" w:rsidP="003B3E23">
      <w:pPr>
        <w:spacing w:line="276" w:lineRule="auto"/>
        <w:jc w:val="both"/>
      </w:pPr>
    </w:p>
    <w:p w:rsidR="00140414" w:rsidRDefault="00140414" w:rsidP="003B3E23">
      <w:pPr>
        <w:spacing w:line="276" w:lineRule="auto"/>
        <w:jc w:val="both"/>
      </w:pPr>
      <w:r>
        <w:t xml:space="preserve">Essen, den </w:t>
      </w:r>
      <w:r w:rsidR="00710E23">
        <w:t>21.08</w:t>
      </w:r>
      <w:r>
        <w:t>.2014</w:t>
      </w:r>
    </w:p>
    <w:p w:rsidR="00140414" w:rsidRDefault="00140414" w:rsidP="003B3E23">
      <w:pPr>
        <w:spacing w:line="276" w:lineRule="auto"/>
        <w:jc w:val="both"/>
      </w:pPr>
    </w:p>
    <w:p w:rsidR="00302237" w:rsidRPr="00956ED5" w:rsidRDefault="00302237" w:rsidP="003B3E23">
      <w:pPr>
        <w:tabs>
          <w:tab w:val="left" w:pos="6300"/>
        </w:tabs>
        <w:spacing w:line="360" w:lineRule="auto"/>
        <w:jc w:val="both"/>
      </w:pPr>
    </w:p>
    <w:p w:rsidR="00302237" w:rsidRDefault="00302237" w:rsidP="003B3E23">
      <w:pPr>
        <w:tabs>
          <w:tab w:val="left" w:pos="6300"/>
        </w:tabs>
        <w:spacing w:line="360" w:lineRule="auto"/>
        <w:jc w:val="both"/>
      </w:pPr>
      <w:proofErr w:type="spellStart"/>
      <w:r>
        <w:t>Vfg</w:t>
      </w:r>
      <w:proofErr w:type="spellEnd"/>
      <w:r>
        <w:t>.</w:t>
      </w:r>
    </w:p>
    <w:p w:rsidR="00302237" w:rsidRDefault="003F29F1" w:rsidP="003B3E23">
      <w:pPr>
        <w:tabs>
          <w:tab w:val="left" w:pos="540"/>
          <w:tab w:val="left" w:pos="6840"/>
        </w:tabs>
        <w:spacing w:line="360" w:lineRule="auto"/>
        <w:jc w:val="both"/>
        <w:rPr>
          <w:lang w:val="en-GB"/>
        </w:rPr>
      </w:pPr>
      <w:r w:rsidRPr="004701AF">
        <w:rPr>
          <w:lang w:val="en-GB"/>
        </w:rPr>
        <w:t>1.</w:t>
      </w:r>
      <w:r w:rsidRPr="004701AF">
        <w:rPr>
          <w:lang w:val="en-GB"/>
        </w:rPr>
        <w:tab/>
      </w:r>
      <w:r w:rsidR="008E2591">
        <w:sym w:font="Symbol" w:char="F0C6"/>
      </w:r>
      <w:r w:rsidR="008E2591">
        <w:sym w:font="Symbol" w:char="F0C6"/>
      </w:r>
      <w:r w:rsidR="008E2591" w:rsidRPr="004701AF">
        <w:rPr>
          <w:lang w:val="en-GB"/>
        </w:rPr>
        <w:t xml:space="preserve"> </w:t>
      </w:r>
      <w:proofErr w:type="gramStart"/>
      <w:r w:rsidR="00B55E05">
        <w:rPr>
          <w:lang w:val="en-GB"/>
        </w:rPr>
        <w:t>mit</w:t>
      </w:r>
      <w:proofErr w:type="gramEnd"/>
      <w:r w:rsidR="00B55E05">
        <w:rPr>
          <w:lang w:val="en-GB"/>
        </w:rPr>
        <w:t xml:space="preserve"> Anlagen VV, VP</w:t>
      </w:r>
      <w:r w:rsidR="009E0999">
        <w:rPr>
          <w:lang w:val="en-GB"/>
        </w:rPr>
        <w:t>, F, F-K</w:t>
      </w:r>
      <w:r w:rsidR="00574324">
        <w:rPr>
          <w:lang w:val="en-GB"/>
        </w:rPr>
        <w:t xml:space="preserve"> </w:t>
      </w:r>
      <w:proofErr w:type="spellStart"/>
      <w:r w:rsidR="00574324">
        <w:rPr>
          <w:lang w:val="en-GB"/>
        </w:rPr>
        <w:t>als</w:t>
      </w:r>
      <w:proofErr w:type="spellEnd"/>
      <w:r w:rsidR="00574324">
        <w:rPr>
          <w:lang w:val="en-GB"/>
        </w:rPr>
        <w:t xml:space="preserve"> pdf</w:t>
      </w:r>
    </w:p>
    <w:p w:rsidR="00B55E05" w:rsidRPr="004701AF" w:rsidRDefault="00710E23" w:rsidP="003B3E23">
      <w:pPr>
        <w:tabs>
          <w:tab w:val="left" w:pos="540"/>
          <w:tab w:val="left" w:pos="6840"/>
        </w:tabs>
        <w:spacing w:line="360" w:lineRule="auto"/>
        <w:jc w:val="both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  <w:t>R-Ni, R-Le, R-Pe</w:t>
      </w:r>
    </w:p>
    <w:p w:rsidR="003F29F1" w:rsidRPr="004701AF" w:rsidRDefault="00B55E05" w:rsidP="003B3E23">
      <w:pPr>
        <w:tabs>
          <w:tab w:val="left" w:pos="540"/>
          <w:tab w:val="left" w:pos="6840"/>
        </w:tabs>
        <w:spacing w:line="360" w:lineRule="auto"/>
        <w:jc w:val="both"/>
        <w:rPr>
          <w:lang w:val="en-GB"/>
        </w:rPr>
      </w:pPr>
      <w:r>
        <w:rPr>
          <w:lang w:val="en-GB"/>
        </w:rPr>
        <w:t>3</w:t>
      </w:r>
      <w:r w:rsidR="003F29F1" w:rsidRPr="004701AF">
        <w:rPr>
          <w:lang w:val="en-GB"/>
        </w:rPr>
        <w:t>.</w:t>
      </w:r>
      <w:r w:rsidR="003F29F1" w:rsidRPr="004701AF">
        <w:rPr>
          <w:lang w:val="en-GB"/>
        </w:rPr>
        <w:tab/>
      </w:r>
      <w:proofErr w:type="gramStart"/>
      <w:r w:rsidR="00EF1B70" w:rsidRPr="004701AF">
        <w:rPr>
          <w:lang w:val="en-GB"/>
        </w:rPr>
        <w:t>zVg</w:t>
      </w:r>
      <w:proofErr w:type="gramEnd"/>
      <w:r w:rsidR="00EF1B70" w:rsidRPr="004701AF">
        <w:rPr>
          <w:lang w:val="en-GB"/>
        </w:rPr>
        <w:t>.</w:t>
      </w:r>
    </w:p>
    <w:p w:rsidR="009C727C" w:rsidRPr="004701AF" w:rsidRDefault="009C727C" w:rsidP="003B3E23">
      <w:pPr>
        <w:tabs>
          <w:tab w:val="left" w:pos="540"/>
          <w:tab w:val="left" w:pos="6840"/>
        </w:tabs>
        <w:spacing w:line="360" w:lineRule="auto"/>
        <w:jc w:val="both"/>
        <w:rPr>
          <w:lang w:val="en-GB"/>
        </w:rPr>
      </w:pPr>
    </w:p>
    <w:p w:rsidR="009C727C" w:rsidRPr="0026091A" w:rsidRDefault="009C727C" w:rsidP="003B3E23">
      <w:pPr>
        <w:tabs>
          <w:tab w:val="left" w:pos="4500"/>
        </w:tabs>
        <w:spacing w:line="360" w:lineRule="auto"/>
        <w:jc w:val="both"/>
        <w:rPr>
          <w:sz w:val="18"/>
          <w:szCs w:val="18"/>
          <w:lang w:val="en-GB"/>
        </w:rPr>
      </w:pPr>
      <w:r w:rsidRPr="0026091A">
        <w:rPr>
          <w:lang w:val="en-GB"/>
        </w:rPr>
        <w:tab/>
      </w:r>
      <w:r w:rsidR="0026091A" w:rsidRPr="0026091A">
        <w:rPr>
          <w:sz w:val="18"/>
          <w:szCs w:val="18"/>
          <w:lang w:val="en-GB"/>
        </w:rPr>
        <w:t>R-Ha</w:t>
      </w:r>
    </w:p>
    <w:sectPr w:rsidR="009C727C" w:rsidRPr="0026091A" w:rsidSect="00956ED5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0E" w:rsidRDefault="00BD14E8">
      <w:r>
        <w:separator/>
      </w:r>
    </w:p>
  </w:endnote>
  <w:endnote w:type="continuationSeparator" w:id="0">
    <w:p w:rsidR="00C7570E" w:rsidRDefault="00BD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F0F" w:rsidRPr="00302237" w:rsidRDefault="00D50F0F" w:rsidP="003F29F1">
    <w:pPr>
      <w:pStyle w:val="Fuzeile"/>
      <w:tabs>
        <w:tab w:val="clear" w:pos="4536"/>
      </w:tabs>
      <w:rPr>
        <w:sz w:val="16"/>
        <w:szCs w:val="16"/>
      </w:rPr>
    </w:pPr>
    <w:r w:rsidRPr="00302237">
      <w:rPr>
        <w:sz w:val="16"/>
        <w:szCs w:val="16"/>
      </w:rPr>
      <w:fldChar w:fldCharType="begin"/>
    </w:r>
    <w:r w:rsidRPr="00302237">
      <w:rPr>
        <w:sz w:val="16"/>
        <w:szCs w:val="16"/>
      </w:rPr>
      <w:instrText xml:space="preserve"> FILENAME \p </w:instrText>
    </w:r>
    <w:r w:rsidRPr="00302237">
      <w:rPr>
        <w:sz w:val="16"/>
        <w:szCs w:val="16"/>
      </w:rPr>
      <w:fldChar w:fldCharType="separate"/>
    </w:r>
    <w:r w:rsidR="00574324">
      <w:rPr>
        <w:noProof/>
        <w:sz w:val="16"/>
        <w:szCs w:val="16"/>
      </w:rPr>
      <w:t>X:\R_Ablage\R\MUSTER\vermerk_ha.docx</w:t>
    </w:r>
    <w:r w:rsidRPr="00302237"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F9" w:rsidRDefault="00A601F9">
    <w:pPr>
      <w:pStyle w:val="Fuzeile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</w:t>
    </w:r>
  </w:p>
  <w:p w:rsidR="00A601F9" w:rsidRPr="00A601F9" w:rsidRDefault="00A601F9" w:rsidP="00A601F9">
    <w:pPr>
      <w:pStyle w:val="Fuzeile"/>
      <w:tabs>
        <w:tab w:val="left" w:pos="7560"/>
      </w:tabs>
      <w:rPr>
        <w:sz w:val="16"/>
        <w:szCs w:val="16"/>
      </w:rPr>
    </w:pPr>
    <w:r w:rsidRPr="00A601F9">
      <w:rPr>
        <w:sz w:val="16"/>
        <w:szCs w:val="16"/>
      </w:rPr>
      <w:fldChar w:fldCharType="begin"/>
    </w:r>
    <w:r w:rsidRPr="00A601F9">
      <w:rPr>
        <w:sz w:val="16"/>
        <w:szCs w:val="16"/>
      </w:rPr>
      <w:instrText xml:space="preserve"> FILENAME \p </w:instrText>
    </w:r>
    <w:r w:rsidRPr="00A601F9">
      <w:rPr>
        <w:sz w:val="16"/>
        <w:szCs w:val="16"/>
      </w:rPr>
      <w:fldChar w:fldCharType="separate"/>
    </w:r>
    <w:r w:rsidR="00574324">
      <w:rPr>
        <w:noProof/>
        <w:sz w:val="16"/>
        <w:szCs w:val="16"/>
      </w:rPr>
      <w:t>X:\R_Ablage\R\MUSTER\vermerk_ha.docx</w:t>
    </w:r>
    <w:r w:rsidRPr="00A601F9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  <w:t xml:space="preserve">Essen, </w:t>
    </w:r>
    <w:r w:rsidR="00140414">
      <w:rPr>
        <w:sz w:val="16"/>
        <w:szCs w:val="16"/>
      </w:rPr>
      <w:t>07.12.2014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0E" w:rsidRDefault="00BD14E8">
      <w:r>
        <w:separator/>
      </w:r>
    </w:p>
  </w:footnote>
  <w:footnote w:type="continuationSeparator" w:id="0">
    <w:p w:rsidR="00C7570E" w:rsidRDefault="00BD14E8">
      <w:r>
        <w:continuationSeparator/>
      </w:r>
    </w:p>
  </w:footnote>
  <w:footnote w:id="1">
    <w:p w:rsidR="006962AF" w:rsidRDefault="006962AF">
      <w:pPr>
        <w:pStyle w:val="Funotentext"/>
      </w:pPr>
      <w:r>
        <w:rPr>
          <w:rStyle w:val="Funotenzeichen"/>
        </w:rPr>
        <w:footnoteRef/>
      </w:r>
      <w:r>
        <w:t xml:space="preserve"> Entsprechende Regelungen gelten in § 104 Landesbeamtengesetz</w:t>
      </w:r>
      <w:r w:rsidRPr="006962AF">
        <w:t xml:space="preserve"> </w:t>
      </w:r>
      <w:r>
        <w:t>auch für das Beamtenrecht</w:t>
      </w:r>
      <w:r>
        <w:t>, auf das in diesem Zusammenhang nicht weiter einzugehen ist.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D5" w:rsidRDefault="00956ED5" w:rsidP="0070789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56ED5" w:rsidRDefault="00956ED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D5" w:rsidRDefault="00956ED5" w:rsidP="0070789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A0B70">
      <w:rPr>
        <w:rStyle w:val="Seitenzahl"/>
        <w:noProof/>
      </w:rPr>
      <w:t>- 3 -</w:t>
    </w:r>
    <w:r>
      <w:rPr>
        <w:rStyle w:val="Seitenzahl"/>
      </w:rPr>
      <w:fldChar w:fldCharType="end"/>
    </w:r>
  </w:p>
  <w:p w:rsidR="00956ED5" w:rsidRDefault="00956ED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C79"/>
    <w:multiLevelType w:val="hybridMultilevel"/>
    <w:tmpl w:val="E90AA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B628B"/>
    <w:multiLevelType w:val="hybridMultilevel"/>
    <w:tmpl w:val="657477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32"/>
    <w:rsid w:val="000446B0"/>
    <w:rsid w:val="0004487C"/>
    <w:rsid w:val="00052493"/>
    <w:rsid w:val="000A0C70"/>
    <w:rsid w:val="000D042D"/>
    <w:rsid w:val="001379E2"/>
    <w:rsid w:val="00140414"/>
    <w:rsid w:val="00144F06"/>
    <w:rsid w:val="001B2B13"/>
    <w:rsid w:val="001F3AED"/>
    <w:rsid w:val="00203993"/>
    <w:rsid w:val="0026091A"/>
    <w:rsid w:val="002763A9"/>
    <w:rsid w:val="00283E89"/>
    <w:rsid w:val="002A160D"/>
    <w:rsid w:val="00302237"/>
    <w:rsid w:val="00341D8A"/>
    <w:rsid w:val="00355506"/>
    <w:rsid w:val="003657DF"/>
    <w:rsid w:val="00370BFC"/>
    <w:rsid w:val="003716F4"/>
    <w:rsid w:val="00394D9E"/>
    <w:rsid w:val="003B3E23"/>
    <w:rsid w:val="003D11ED"/>
    <w:rsid w:val="003F29F1"/>
    <w:rsid w:val="00407E46"/>
    <w:rsid w:val="00443775"/>
    <w:rsid w:val="004701AF"/>
    <w:rsid w:val="0047417A"/>
    <w:rsid w:val="00490B83"/>
    <w:rsid w:val="004B55C0"/>
    <w:rsid w:val="004B57F8"/>
    <w:rsid w:val="0051678D"/>
    <w:rsid w:val="00523EAB"/>
    <w:rsid w:val="005242E4"/>
    <w:rsid w:val="00533DC1"/>
    <w:rsid w:val="00574324"/>
    <w:rsid w:val="005A246B"/>
    <w:rsid w:val="005A6827"/>
    <w:rsid w:val="005C48DF"/>
    <w:rsid w:val="005F64BF"/>
    <w:rsid w:val="00613AA6"/>
    <w:rsid w:val="0064009D"/>
    <w:rsid w:val="00647C88"/>
    <w:rsid w:val="0065113A"/>
    <w:rsid w:val="006962AF"/>
    <w:rsid w:val="0070789B"/>
    <w:rsid w:val="00710E23"/>
    <w:rsid w:val="00732E0F"/>
    <w:rsid w:val="00752970"/>
    <w:rsid w:val="007769C3"/>
    <w:rsid w:val="00842432"/>
    <w:rsid w:val="00856D91"/>
    <w:rsid w:val="00880FD5"/>
    <w:rsid w:val="008B54F6"/>
    <w:rsid w:val="008D0C61"/>
    <w:rsid w:val="008E2591"/>
    <w:rsid w:val="00907A6C"/>
    <w:rsid w:val="00917B34"/>
    <w:rsid w:val="009313BE"/>
    <w:rsid w:val="00941640"/>
    <w:rsid w:val="00956ED5"/>
    <w:rsid w:val="009571C5"/>
    <w:rsid w:val="009658A0"/>
    <w:rsid w:val="0096769C"/>
    <w:rsid w:val="009706DB"/>
    <w:rsid w:val="009C22C1"/>
    <w:rsid w:val="009C727C"/>
    <w:rsid w:val="009D1A9D"/>
    <w:rsid w:val="009E0999"/>
    <w:rsid w:val="00A01B06"/>
    <w:rsid w:val="00A601F9"/>
    <w:rsid w:val="00A61D2E"/>
    <w:rsid w:val="00AC1A61"/>
    <w:rsid w:val="00AC5226"/>
    <w:rsid w:val="00AE0952"/>
    <w:rsid w:val="00AE182C"/>
    <w:rsid w:val="00AE465B"/>
    <w:rsid w:val="00AF6686"/>
    <w:rsid w:val="00B0015B"/>
    <w:rsid w:val="00B45BD5"/>
    <w:rsid w:val="00B55E05"/>
    <w:rsid w:val="00B63C9B"/>
    <w:rsid w:val="00BB190F"/>
    <w:rsid w:val="00BD14E8"/>
    <w:rsid w:val="00BF3791"/>
    <w:rsid w:val="00C12129"/>
    <w:rsid w:val="00C457EC"/>
    <w:rsid w:val="00C62BA6"/>
    <w:rsid w:val="00C64848"/>
    <w:rsid w:val="00C74825"/>
    <w:rsid w:val="00C7570E"/>
    <w:rsid w:val="00C90DD7"/>
    <w:rsid w:val="00CA182A"/>
    <w:rsid w:val="00CF524F"/>
    <w:rsid w:val="00D260FC"/>
    <w:rsid w:val="00D30217"/>
    <w:rsid w:val="00D41842"/>
    <w:rsid w:val="00D444FB"/>
    <w:rsid w:val="00D50F0F"/>
    <w:rsid w:val="00DB6421"/>
    <w:rsid w:val="00DE0804"/>
    <w:rsid w:val="00DE3B1C"/>
    <w:rsid w:val="00DF7F6E"/>
    <w:rsid w:val="00E15157"/>
    <w:rsid w:val="00E21189"/>
    <w:rsid w:val="00E32AD0"/>
    <w:rsid w:val="00E369D6"/>
    <w:rsid w:val="00E96AC3"/>
    <w:rsid w:val="00EA0132"/>
    <w:rsid w:val="00EB66D9"/>
    <w:rsid w:val="00EF1B70"/>
    <w:rsid w:val="00F0303D"/>
    <w:rsid w:val="00F44608"/>
    <w:rsid w:val="00F642CA"/>
    <w:rsid w:val="00F722F6"/>
    <w:rsid w:val="00FA0B5E"/>
    <w:rsid w:val="00FA0B70"/>
    <w:rsid w:val="00FC53B9"/>
    <w:rsid w:val="00FC611F"/>
    <w:rsid w:val="00FC7226"/>
    <w:rsid w:val="00FC74F8"/>
    <w:rsid w:val="00FE74F1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22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223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313B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56ED5"/>
  </w:style>
  <w:style w:type="paragraph" w:styleId="Funotentext">
    <w:name w:val="footnote text"/>
    <w:basedOn w:val="Standard"/>
    <w:link w:val="FunotentextZchn"/>
    <w:uiPriority w:val="99"/>
    <w:semiHidden/>
    <w:unhideWhenUsed/>
    <w:rsid w:val="006962A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62AF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6962A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56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22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223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313B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56ED5"/>
  </w:style>
  <w:style w:type="paragraph" w:styleId="Funotentext">
    <w:name w:val="footnote text"/>
    <w:basedOn w:val="Standard"/>
    <w:link w:val="FunotentextZchn"/>
    <w:uiPriority w:val="99"/>
    <w:semiHidden/>
    <w:unhideWhenUsed/>
    <w:rsid w:val="006962A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62AF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6962A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5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F92D-A7A7-4CDE-88B2-734FE639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7EF5266A.dotm</Template>
  <TotalTime>0</TotalTime>
  <Pages>3</Pages>
  <Words>942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</vt:lpstr>
    </vt:vector>
  </TitlesOfParts>
  <Company>Ruhrverband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</dc:title>
  <dc:subject/>
  <dc:creator>wha</dc:creator>
  <cp:keywords/>
  <dc:description/>
  <cp:lastModifiedBy>wha</cp:lastModifiedBy>
  <cp:revision>2</cp:revision>
  <cp:lastPrinted>2014-08-21T14:43:00Z</cp:lastPrinted>
  <dcterms:created xsi:type="dcterms:W3CDTF">2014-08-21T14:49:00Z</dcterms:created>
  <dcterms:modified xsi:type="dcterms:W3CDTF">2014-08-21T14:49:00Z</dcterms:modified>
</cp:coreProperties>
</file>