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08" w:rsidRPr="0053659D" w:rsidRDefault="0053659D">
      <w:pPr>
        <w:rPr>
          <w:rFonts w:ascii="Arial" w:hAnsi="Arial" w:cs="Arial"/>
          <w:b/>
          <w:sz w:val="24"/>
          <w:szCs w:val="24"/>
        </w:rPr>
      </w:pPr>
      <w:r w:rsidRPr="0053659D">
        <w:rPr>
          <w:rFonts w:ascii="Arial" w:hAnsi="Arial" w:cs="Arial"/>
          <w:b/>
          <w:sz w:val="24"/>
          <w:szCs w:val="24"/>
        </w:rPr>
        <w:t>Novellierung des LWG 2020</w:t>
      </w:r>
    </w:p>
    <w:p w:rsidR="0053659D" w:rsidRPr="0053659D" w:rsidRDefault="00B45337">
      <w:pPr>
        <w:rPr>
          <w:rFonts w:ascii="Arial" w:hAnsi="Arial" w:cs="Arial"/>
          <w:b/>
          <w:sz w:val="24"/>
          <w:szCs w:val="24"/>
        </w:rPr>
      </w:pPr>
      <w:r>
        <w:rPr>
          <w:rFonts w:ascii="Arial" w:hAnsi="Arial" w:cs="Arial"/>
          <w:b/>
          <w:sz w:val="24"/>
          <w:szCs w:val="24"/>
        </w:rPr>
        <w:t xml:space="preserve">Anmerkungen </w:t>
      </w:r>
      <w:r w:rsidR="00321B93">
        <w:rPr>
          <w:rFonts w:ascii="Arial" w:hAnsi="Arial" w:cs="Arial"/>
          <w:b/>
          <w:sz w:val="24"/>
          <w:szCs w:val="24"/>
        </w:rPr>
        <w:t xml:space="preserve">des AV </w:t>
      </w:r>
      <w:r>
        <w:rPr>
          <w:rFonts w:ascii="Arial" w:hAnsi="Arial" w:cs="Arial"/>
          <w:b/>
          <w:sz w:val="24"/>
          <w:szCs w:val="24"/>
        </w:rPr>
        <w:t xml:space="preserve">zum </w:t>
      </w:r>
      <w:r w:rsidR="0053659D" w:rsidRPr="0053659D">
        <w:rPr>
          <w:rFonts w:ascii="Arial" w:hAnsi="Arial" w:cs="Arial"/>
          <w:b/>
          <w:sz w:val="24"/>
          <w:szCs w:val="24"/>
        </w:rPr>
        <w:t>Regierungsentwurf zur Anhörung</w:t>
      </w:r>
    </w:p>
    <w:p w:rsidR="0053659D" w:rsidRDefault="0053659D">
      <w:pPr>
        <w:rPr>
          <w:rFonts w:ascii="Arial" w:hAnsi="Arial" w:cs="Arial"/>
          <w:sz w:val="24"/>
          <w:szCs w:val="24"/>
        </w:rPr>
      </w:pPr>
    </w:p>
    <w:tbl>
      <w:tblPr>
        <w:tblStyle w:val="Tabellenraster"/>
        <w:tblW w:w="0" w:type="auto"/>
        <w:tblLayout w:type="fixed"/>
        <w:tblLook w:val="04A0" w:firstRow="1" w:lastRow="0" w:firstColumn="1" w:lastColumn="0" w:noHBand="0" w:noVBand="1"/>
      </w:tblPr>
      <w:tblGrid>
        <w:gridCol w:w="988"/>
        <w:gridCol w:w="8074"/>
      </w:tblGrid>
      <w:tr w:rsidR="00A07548" w:rsidTr="006F20EA">
        <w:tc>
          <w:tcPr>
            <w:tcW w:w="988" w:type="dxa"/>
          </w:tcPr>
          <w:p w:rsidR="00A07548" w:rsidRDefault="00A07548">
            <w:pPr>
              <w:rPr>
                <w:rFonts w:ascii="Arial" w:hAnsi="Arial" w:cs="Arial"/>
                <w:sz w:val="24"/>
                <w:szCs w:val="24"/>
              </w:rPr>
            </w:pPr>
            <w:r>
              <w:rPr>
                <w:rFonts w:ascii="Arial" w:hAnsi="Arial" w:cs="Arial"/>
                <w:sz w:val="24"/>
                <w:szCs w:val="24"/>
              </w:rPr>
              <w:t>§ 22</w:t>
            </w:r>
            <w:r w:rsidR="00A93E3E">
              <w:rPr>
                <w:rFonts w:ascii="Arial" w:hAnsi="Arial" w:cs="Arial"/>
                <w:sz w:val="24"/>
                <w:szCs w:val="24"/>
              </w:rPr>
              <w:t xml:space="preserve"> III</w:t>
            </w:r>
          </w:p>
        </w:tc>
        <w:tc>
          <w:tcPr>
            <w:tcW w:w="8074" w:type="dxa"/>
          </w:tcPr>
          <w:p w:rsidR="00050105" w:rsidRDefault="00A93E3E" w:rsidP="00A93E3E">
            <w:pPr>
              <w:rPr>
                <w:rFonts w:ascii="Arial" w:hAnsi="Arial" w:cs="Arial"/>
                <w:sz w:val="24"/>
                <w:szCs w:val="24"/>
              </w:rPr>
            </w:pPr>
            <w:r>
              <w:rPr>
                <w:rFonts w:ascii="Arial" w:hAnsi="Arial" w:cs="Arial"/>
                <w:sz w:val="24"/>
                <w:szCs w:val="24"/>
              </w:rPr>
              <w:t xml:space="preserve">Der vorgesehene </w:t>
            </w:r>
            <w:r w:rsidR="00021FFA">
              <w:rPr>
                <w:rFonts w:ascii="Arial" w:hAnsi="Arial" w:cs="Arial"/>
                <w:sz w:val="24"/>
                <w:szCs w:val="24"/>
              </w:rPr>
              <w:t>Verzicht auf die grundsätzl</w:t>
            </w:r>
            <w:r>
              <w:rPr>
                <w:rFonts w:ascii="Arial" w:hAnsi="Arial" w:cs="Arial"/>
                <w:sz w:val="24"/>
                <w:szCs w:val="24"/>
              </w:rPr>
              <w:t>iche Befristung ist ein Rückschritt. In einem erneuten Antragsverfahren werden die Zulassungsanforderungen von Amts wegen geprüft. Dies ist ein wirksamerer Schutzmechanismus als die Möglichkeit, nachträglich Auflagen zu verfügen.</w:t>
            </w:r>
          </w:p>
          <w:p w:rsidR="00A93E3E" w:rsidRDefault="00A93E3E" w:rsidP="00A93E3E">
            <w:pPr>
              <w:rPr>
                <w:rFonts w:ascii="Arial" w:hAnsi="Arial" w:cs="Arial"/>
                <w:sz w:val="24"/>
                <w:szCs w:val="24"/>
              </w:rPr>
            </w:pPr>
          </w:p>
        </w:tc>
      </w:tr>
      <w:tr w:rsidR="00050105" w:rsidTr="006F20EA">
        <w:tc>
          <w:tcPr>
            <w:tcW w:w="988" w:type="dxa"/>
          </w:tcPr>
          <w:p w:rsidR="00050105" w:rsidRDefault="00050105">
            <w:pPr>
              <w:rPr>
                <w:rFonts w:ascii="Arial" w:hAnsi="Arial" w:cs="Arial"/>
                <w:sz w:val="24"/>
                <w:szCs w:val="24"/>
              </w:rPr>
            </w:pPr>
            <w:r>
              <w:rPr>
                <w:rFonts w:ascii="Arial" w:hAnsi="Arial" w:cs="Arial"/>
                <w:sz w:val="24"/>
                <w:szCs w:val="24"/>
              </w:rPr>
              <w:t>§ 23</w:t>
            </w:r>
          </w:p>
        </w:tc>
        <w:tc>
          <w:tcPr>
            <w:tcW w:w="8074" w:type="dxa"/>
          </w:tcPr>
          <w:p w:rsidR="00050105" w:rsidRDefault="00A93E3E">
            <w:pPr>
              <w:rPr>
                <w:rFonts w:ascii="Arial" w:hAnsi="Arial" w:cs="Arial"/>
                <w:sz w:val="24"/>
                <w:szCs w:val="24"/>
              </w:rPr>
            </w:pPr>
            <w:r>
              <w:rPr>
                <w:rFonts w:ascii="Arial" w:hAnsi="Arial" w:cs="Arial"/>
                <w:sz w:val="24"/>
                <w:szCs w:val="24"/>
              </w:rPr>
              <w:t>Die w</w:t>
            </w:r>
            <w:r w:rsidR="00050105">
              <w:rPr>
                <w:rFonts w:ascii="Arial" w:hAnsi="Arial" w:cs="Arial"/>
                <w:sz w:val="24"/>
                <w:szCs w:val="24"/>
              </w:rPr>
              <w:t xml:space="preserve">eitgehende Übernahme des bisherigen </w:t>
            </w:r>
            <w:proofErr w:type="spellStart"/>
            <w:r w:rsidR="00050105">
              <w:rPr>
                <w:rFonts w:ascii="Arial" w:hAnsi="Arial" w:cs="Arial"/>
                <w:sz w:val="24"/>
                <w:szCs w:val="24"/>
              </w:rPr>
              <w:t>agw</w:t>
            </w:r>
            <w:proofErr w:type="spellEnd"/>
            <w:r w:rsidR="00050105">
              <w:rPr>
                <w:rFonts w:ascii="Arial" w:hAnsi="Arial" w:cs="Arial"/>
                <w:sz w:val="24"/>
                <w:szCs w:val="24"/>
              </w:rPr>
              <w:t>-Vorschlags</w:t>
            </w:r>
            <w:r w:rsidR="001F0A31">
              <w:rPr>
                <w:rFonts w:ascii="Arial" w:hAnsi="Arial" w:cs="Arial"/>
                <w:sz w:val="24"/>
                <w:szCs w:val="24"/>
              </w:rPr>
              <w:t xml:space="preserve"> ist positiv</w:t>
            </w:r>
            <w:r w:rsidR="00050105">
              <w:rPr>
                <w:rFonts w:ascii="Arial" w:hAnsi="Arial" w:cs="Arial"/>
                <w:sz w:val="24"/>
                <w:szCs w:val="24"/>
              </w:rPr>
              <w:t xml:space="preserve">. </w:t>
            </w:r>
            <w:r>
              <w:rPr>
                <w:rFonts w:ascii="Arial" w:hAnsi="Arial" w:cs="Arial"/>
                <w:sz w:val="24"/>
                <w:szCs w:val="24"/>
              </w:rPr>
              <w:t xml:space="preserve">Die </w:t>
            </w:r>
            <w:r w:rsidR="00CC0553">
              <w:rPr>
                <w:rFonts w:ascii="Arial" w:hAnsi="Arial" w:cs="Arial"/>
                <w:sz w:val="24"/>
                <w:szCs w:val="24"/>
              </w:rPr>
              <w:t xml:space="preserve">Zumutbarkeitsregelung </w:t>
            </w:r>
            <w:r>
              <w:rPr>
                <w:rFonts w:ascii="Arial" w:hAnsi="Arial" w:cs="Arial"/>
                <w:sz w:val="24"/>
                <w:szCs w:val="24"/>
              </w:rPr>
              <w:t xml:space="preserve">in Abs. 2 Satz 4 Nr. 1 </w:t>
            </w:r>
            <w:r w:rsidR="00CC0553">
              <w:rPr>
                <w:rFonts w:ascii="Arial" w:hAnsi="Arial" w:cs="Arial"/>
                <w:sz w:val="24"/>
                <w:szCs w:val="24"/>
              </w:rPr>
              <w:t xml:space="preserve">führt in der Praxis </w:t>
            </w:r>
            <w:r>
              <w:rPr>
                <w:rFonts w:ascii="Arial" w:hAnsi="Arial" w:cs="Arial"/>
                <w:sz w:val="24"/>
                <w:szCs w:val="24"/>
              </w:rPr>
              <w:t xml:space="preserve">aber </w:t>
            </w:r>
            <w:r w:rsidR="00CC0553">
              <w:rPr>
                <w:rFonts w:ascii="Arial" w:hAnsi="Arial" w:cs="Arial"/>
                <w:sz w:val="24"/>
                <w:szCs w:val="24"/>
              </w:rPr>
              <w:t xml:space="preserve">nicht zu Vereinfachung </w:t>
            </w:r>
            <w:r w:rsidR="001F0A31">
              <w:rPr>
                <w:rFonts w:ascii="Arial" w:hAnsi="Arial" w:cs="Arial"/>
                <w:sz w:val="24"/>
                <w:szCs w:val="24"/>
              </w:rPr>
              <w:t xml:space="preserve">des Vollzugs </w:t>
            </w:r>
            <w:r w:rsidR="00CC0553">
              <w:rPr>
                <w:rFonts w:ascii="Arial" w:hAnsi="Arial" w:cs="Arial"/>
                <w:sz w:val="24"/>
                <w:szCs w:val="24"/>
              </w:rPr>
              <w:t xml:space="preserve">und ist neben der Abkehr von der klassischen Ersatzvornahme eine weitere </w:t>
            </w:r>
            <w:r>
              <w:rPr>
                <w:rFonts w:ascii="Arial" w:hAnsi="Arial" w:cs="Arial"/>
                <w:sz w:val="24"/>
                <w:szCs w:val="24"/>
              </w:rPr>
              <w:t xml:space="preserve">Belastung des originär nicht </w:t>
            </w:r>
            <w:r w:rsidR="003F661A">
              <w:rPr>
                <w:rFonts w:ascii="Arial" w:hAnsi="Arial" w:cs="Arial"/>
                <w:sz w:val="24"/>
                <w:szCs w:val="24"/>
              </w:rPr>
              <w:t>verantwortlichen</w:t>
            </w:r>
            <w:r>
              <w:rPr>
                <w:rFonts w:ascii="Arial" w:hAnsi="Arial" w:cs="Arial"/>
                <w:sz w:val="24"/>
                <w:szCs w:val="24"/>
              </w:rPr>
              <w:t xml:space="preserve"> Gewässerunterhaltungspflichtigen.</w:t>
            </w:r>
            <w:r w:rsidR="003F661A">
              <w:rPr>
                <w:rFonts w:ascii="Arial" w:hAnsi="Arial" w:cs="Arial"/>
                <w:sz w:val="24"/>
                <w:szCs w:val="24"/>
              </w:rPr>
              <w:t xml:space="preserve"> Hier wäre mindestens in der Begründung ein relativer Orientierungswert wichtig, ab dessen Überschreitung eine vorübergehende Kostentragung regelmäßig nicht mehr zumutbar ist. Ursprünglicher Vorschlag an Frau Dr. Pawlowski </w:t>
            </w:r>
            <w:proofErr w:type="gramStart"/>
            <w:r w:rsidR="003F661A">
              <w:rPr>
                <w:rFonts w:ascii="Arial" w:hAnsi="Arial" w:cs="Arial"/>
                <w:sz w:val="24"/>
                <w:szCs w:val="24"/>
              </w:rPr>
              <w:t>waren</w:t>
            </w:r>
            <w:proofErr w:type="gramEnd"/>
            <w:r w:rsidR="003F661A">
              <w:rPr>
                <w:rFonts w:ascii="Arial" w:hAnsi="Arial" w:cs="Arial"/>
                <w:sz w:val="24"/>
                <w:szCs w:val="24"/>
              </w:rPr>
              <w:t xml:space="preserve"> 1% der im Haushaltsplan für die Gewässerunterhaltung veranschlagten Aufwendungen (kumulativ für alle Inanspruchnahmen). </w:t>
            </w:r>
            <w:r w:rsidR="000526C5">
              <w:rPr>
                <w:rFonts w:ascii="Arial" w:hAnsi="Arial" w:cs="Arial"/>
                <w:sz w:val="24"/>
                <w:szCs w:val="24"/>
              </w:rPr>
              <w:t>Über die Höhe kann diskutiert werden.</w:t>
            </w:r>
          </w:p>
          <w:p w:rsidR="00050105" w:rsidRDefault="00050105">
            <w:pPr>
              <w:rPr>
                <w:rFonts w:ascii="Arial" w:hAnsi="Arial" w:cs="Arial"/>
                <w:sz w:val="24"/>
                <w:szCs w:val="24"/>
              </w:rPr>
            </w:pPr>
          </w:p>
        </w:tc>
      </w:tr>
      <w:tr w:rsidR="0053659D" w:rsidTr="006F20EA">
        <w:tc>
          <w:tcPr>
            <w:tcW w:w="988" w:type="dxa"/>
          </w:tcPr>
          <w:p w:rsidR="0053659D" w:rsidRDefault="0053659D">
            <w:pPr>
              <w:rPr>
                <w:rFonts w:ascii="Arial" w:hAnsi="Arial" w:cs="Arial"/>
                <w:sz w:val="24"/>
                <w:szCs w:val="24"/>
              </w:rPr>
            </w:pPr>
            <w:r>
              <w:rPr>
                <w:rFonts w:ascii="Arial" w:hAnsi="Arial" w:cs="Arial"/>
                <w:sz w:val="24"/>
                <w:szCs w:val="24"/>
              </w:rPr>
              <w:t>§ 23 a</w:t>
            </w:r>
          </w:p>
        </w:tc>
        <w:tc>
          <w:tcPr>
            <w:tcW w:w="8074" w:type="dxa"/>
          </w:tcPr>
          <w:p w:rsidR="0053659D" w:rsidRDefault="00776C02">
            <w:pPr>
              <w:rPr>
                <w:rFonts w:ascii="Arial" w:hAnsi="Arial" w:cs="Arial"/>
                <w:sz w:val="24"/>
                <w:szCs w:val="24"/>
              </w:rPr>
            </w:pPr>
            <w:r>
              <w:rPr>
                <w:rFonts w:ascii="Arial" w:hAnsi="Arial" w:cs="Arial"/>
                <w:sz w:val="24"/>
                <w:szCs w:val="24"/>
              </w:rPr>
              <w:t xml:space="preserve">Vorschlag zur Einfügung einer Neuregelung bzgl. der Feststellung von Zuständigkeiten für die Anlagenunterhaltung. Frau </w:t>
            </w:r>
            <w:proofErr w:type="spellStart"/>
            <w:r>
              <w:rPr>
                <w:rFonts w:ascii="Arial" w:hAnsi="Arial" w:cs="Arial"/>
                <w:sz w:val="24"/>
                <w:szCs w:val="24"/>
              </w:rPr>
              <w:t>Götzkes</w:t>
            </w:r>
            <w:proofErr w:type="spellEnd"/>
            <w:r>
              <w:rPr>
                <w:rFonts w:ascii="Arial" w:hAnsi="Arial" w:cs="Arial"/>
                <w:sz w:val="24"/>
                <w:szCs w:val="24"/>
              </w:rPr>
              <w:t xml:space="preserve"> hatte einen Textvorschlag mit Begründung erarbeitet, der in der </w:t>
            </w:r>
            <w:proofErr w:type="spellStart"/>
            <w:r>
              <w:rPr>
                <w:rFonts w:ascii="Arial" w:hAnsi="Arial" w:cs="Arial"/>
                <w:sz w:val="24"/>
                <w:szCs w:val="24"/>
              </w:rPr>
              <w:t>agw</w:t>
            </w:r>
            <w:proofErr w:type="spellEnd"/>
            <w:r>
              <w:rPr>
                <w:rFonts w:ascii="Arial" w:hAnsi="Arial" w:cs="Arial"/>
                <w:sz w:val="24"/>
                <w:szCs w:val="24"/>
              </w:rPr>
              <w:t xml:space="preserve"> abgestimmt ist und der hier verwendet werden sollte.</w:t>
            </w:r>
          </w:p>
          <w:p w:rsidR="00506788" w:rsidRDefault="00506788">
            <w:pPr>
              <w:rPr>
                <w:rFonts w:ascii="Arial" w:hAnsi="Arial" w:cs="Arial"/>
                <w:sz w:val="24"/>
                <w:szCs w:val="24"/>
              </w:rPr>
            </w:pPr>
          </w:p>
        </w:tc>
      </w:tr>
      <w:tr w:rsidR="0053659D" w:rsidTr="006F20EA">
        <w:tc>
          <w:tcPr>
            <w:tcW w:w="988" w:type="dxa"/>
          </w:tcPr>
          <w:p w:rsidR="0053659D" w:rsidRDefault="00B05388">
            <w:pPr>
              <w:rPr>
                <w:rFonts w:ascii="Arial" w:hAnsi="Arial" w:cs="Arial"/>
                <w:sz w:val="24"/>
                <w:szCs w:val="24"/>
              </w:rPr>
            </w:pPr>
            <w:r>
              <w:rPr>
                <w:rFonts w:ascii="Arial" w:hAnsi="Arial" w:cs="Arial"/>
                <w:sz w:val="24"/>
                <w:szCs w:val="24"/>
              </w:rPr>
              <w:t>§ 24 IV</w:t>
            </w:r>
          </w:p>
        </w:tc>
        <w:tc>
          <w:tcPr>
            <w:tcW w:w="8074" w:type="dxa"/>
          </w:tcPr>
          <w:p w:rsidR="0053659D" w:rsidRDefault="00B05388">
            <w:pPr>
              <w:rPr>
                <w:rFonts w:ascii="Arial" w:hAnsi="Arial" w:cs="Arial"/>
                <w:sz w:val="24"/>
                <w:szCs w:val="24"/>
              </w:rPr>
            </w:pPr>
            <w:r>
              <w:rPr>
                <w:rFonts w:ascii="Arial" w:hAnsi="Arial" w:cs="Arial"/>
                <w:sz w:val="24"/>
                <w:szCs w:val="24"/>
              </w:rPr>
              <w:t xml:space="preserve">Lt. Begründung </w:t>
            </w:r>
            <w:r w:rsidR="00983491">
              <w:rPr>
                <w:rFonts w:ascii="Arial" w:hAnsi="Arial" w:cs="Arial"/>
                <w:sz w:val="24"/>
                <w:szCs w:val="24"/>
              </w:rPr>
              <w:t xml:space="preserve">soll diese Ergänzung eine alternative Trassenführung ermöglichen, wenn diese kostengünstiger als die Sanierung und daher als milderes Mittel anzusehen ist. </w:t>
            </w:r>
            <w:r w:rsidR="00D36E02">
              <w:rPr>
                <w:rFonts w:ascii="Arial" w:hAnsi="Arial" w:cs="Arial"/>
                <w:sz w:val="24"/>
                <w:szCs w:val="24"/>
              </w:rPr>
              <w:t xml:space="preserve">Für den Fall einer Verlegung auf dem Grundstück des </w:t>
            </w:r>
            <w:r w:rsidR="00584AD6">
              <w:rPr>
                <w:rFonts w:ascii="Arial" w:hAnsi="Arial" w:cs="Arial"/>
                <w:sz w:val="24"/>
                <w:szCs w:val="24"/>
              </w:rPr>
              <w:t xml:space="preserve">Anlageneigentümers mag </w:t>
            </w:r>
            <w:proofErr w:type="gramStart"/>
            <w:r w:rsidR="00584AD6">
              <w:rPr>
                <w:rFonts w:ascii="Arial" w:hAnsi="Arial" w:cs="Arial"/>
                <w:sz w:val="24"/>
                <w:szCs w:val="24"/>
              </w:rPr>
              <w:t>das ein</w:t>
            </w:r>
            <w:proofErr w:type="gramEnd"/>
            <w:r w:rsidR="00584AD6">
              <w:rPr>
                <w:rFonts w:ascii="Arial" w:hAnsi="Arial" w:cs="Arial"/>
                <w:sz w:val="24"/>
                <w:szCs w:val="24"/>
              </w:rPr>
              <w:t xml:space="preserve"> Lösungsweg sein. Nicht aber in den Fällen, in denen </w:t>
            </w:r>
            <w:r w:rsidR="004812EF">
              <w:rPr>
                <w:rFonts w:ascii="Arial" w:hAnsi="Arial" w:cs="Arial"/>
                <w:sz w:val="24"/>
                <w:szCs w:val="24"/>
              </w:rPr>
              <w:t xml:space="preserve">das Gewässer – offen oder verrohrt – </w:t>
            </w:r>
            <w:r w:rsidR="0003497D">
              <w:rPr>
                <w:rFonts w:ascii="Arial" w:hAnsi="Arial" w:cs="Arial"/>
                <w:sz w:val="24"/>
                <w:szCs w:val="24"/>
              </w:rPr>
              <w:t xml:space="preserve">aus wirtschaftlichen Gründen </w:t>
            </w:r>
            <w:r w:rsidR="004812EF">
              <w:rPr>
                <w:rFonts w:ascii="Arial" w:hAnsi="Arial" w:cs="Arial"/>
                <w:sz w:val="24"/>
                <w:szCs w:val="24"/>
              </w:rPr>
              <w:t xml:space="preserve">über das Grundstück eines Dritten geführt werden </w:t>
            </w:r>
            <w:r w:rsidR="0003497D">
              <w:rPr>
                <w:rFonts w:ascii="Arial" w:hAnsi="Arial" w:cs="Arial"/>
                <w:sz w:val="24"/>
                <w:szCs w:val="24"/>
              </w:rPr>
              <w:t>soll</w:t>
            </w:r>
            <w:r w:rsidR="004812EF">
              <w:rPr>
                <w:rFonts w:ascii="Arial" w:hAnsi="Arial" w:cs="Arial"/>
                <w:sz w:val="24"/>
                <w:szCs w:val="24"/>
              </w:rPr>
              <w:t xml:space="preserve">. </w:t>
            </w:r>
            <w:r w:rsidR="00DE3FF4">
              <w:rPr>
                <w:rFonts w:ascii="Arial" w:hAnsi="Arial" w:cs="Arial"/>
                <w:sz w:val="24"/>
                <w:szCs w:val="24"/>
              </w:rPr>
              <w:t>Hier droht die Regelung ins Leere zu gehen.</w:t>
            </w:r>
          </w:p>
          <w:p w:rsidR="00506788" w:rsidRDefault="00506788">
            <w:pPr>
              <w:rPr>
                <w:rFonts w:ascii="Arial" w:hAnsi="Arial" w:cs="Arial"/>
                <w:sz w:val="24"/>
                <w:szCs w:val="24"/>
              </w:rPr>
            </w:pPr>
          </w:p>
        </w:tc>
      </w:tr>
      <w:tr w:rsidR="0053659D" w:rsidTr="006F20EA">
        <w:tc>
          <w:tcPr>
            <w:tcW w:w="988" w:type="dxa"/>
          </w:tcPr>
          <w:p w:rsidR="0053659D" w:rsidRDefault="00B05388">
            <w:pPr>
              <w:rPr>
                <w:rFonts w:ascii="Arial" w:hAnsi="Arial" w:cs="Arial"/>
                <w:sz w:val="24"/>
                <w:szCs w:val="24"/>
              </w:rPr>
            </w:pPr>
            <w:r>
              <w:rPr>
                <w:rFonts w:ascii="Arial" w:hAnsi="Arial" w:cs="Arial"/>
                <w:sz w:val="24"/>
                <w:szCs w:val="24"/>
              </w:rPr>
              <w:t>§ 31</w:t>
            </w:r>
          </w:p>
        </w:tc>
        <w:tc>
          <w:tcPr>
            <w:tcW w:w="8074" w:type="dxa"/>
          </w:tcPr>
          <w:p w:rsidR="00084333" w:rsidRPr="00084333" w:rsidRDefault="00084333" w:rsidP="00084333">
            <w:pPr>
              <w:rPr>
                <w:rFonts w:ascii="Arial" w:hAnsi="Arial" w:cs="Arial"/>
                <w:sz w:val="24"/>
                <w:szCs w:val="24"/>
              </w:rPr>
            </w:pPr>
            <w:r w:rsidRPr="00084333">
              <w:rPr>
                <w:rFonts w:ascii="Arial" w:hAnsi="Arial" w:cs="Arial"/>
                <w:sz w:val="24"/>
                <w:szCs w:val="24"/>
              </w:rPr>
              <w:t xml:space="preserve">Die bisherige Regelung sollte beibehalten werden. Mit dieser Regelung ist sichergestellt, dass die Vorgaben der </w:t>
            </w:r>
            <w:proofErr w:type="spellStart"/>
            <w:r w:rsidRPr="00084333">
              <w:rPr>
                <w:rFonts w:ascii="Arial" w:hAnsi="Arial" w:cs="Arial"/>
                <w:sz w:val="24"/>
                <w:szCs w:val="24"/>
              </w:rPr>
              <w:t>OGewV</w:t>
            </w:r>
            <w:proofErr w:type="spellEnd"/>
            <w:r w:rsidRPr="00084333">
              <w:rPr>
                <w:rFonts w:ascii="Arial" w:hAnsi="Arial" w:cs="Arial"/>
                <w:sz w:val="24"/>
                <w:szCs w:val="24"/>
              </w:rPr>
              <w:t xml:space="preserve"> eingehalten</w:t>
            </w:r>
            <w:r w:rsidR="00554C0C">
              <w:rPr>
                <w:rFonts w:ascii="Arial" w:hAnsi="Arial" w:cs="Arial"/>
                <w:sz w:val="24"/>
                <w:szCs w:val="24"/>
              </w:rPr>
              <w:t xml:space="preserve"> werden</w:t>
            </w:r>
            <w:r w:rsidRPr="00084333">
              <w:rPr>
                <w:rFonts w:ascii="Arial" w:hAnsi="Arial" w:cs="Arial"/>
                <w:sz w:val="24"/>
                <w:szCs w:val="24"/>
              </w:rPr>
              <w:t>.</w:t>
            </w:r>
          </w:p>
          <w:p w:rsidR="00084333" w:rsidRPr="00084333" w:rsidRDefault="00084333" w:rsidP="00084333">
            <w:pPr>
              <w:rPr>
                <w:rFonts w:ascii="Arial" w:hAnsi="Arial" w:cs="Arial"/>
                <w:sz w:val="24"/>
                <w:szCs w:val="24"/>
              </w:rPr>
            </w:pPr>
            <w:r w:rsidRPr="00084333">
              <w:rPr>
                <w:rFonts w:ascii="Arial" w:hAnsi="Arial" w:cs="Arial"/>
                <w:sz w:val="24"/>
                <w:szCs w:val="24"/>
              </w:rPr>
              <w:t>In der Sitzung des Umweltausschusses des Landtags NRW am 05.09.2018 ist seitens des MUNLV folgendes ausgeführt worden:</w:t>
            </w:r>
          </w:p>
          <w:p w:rsidR="00084333" w:rsidRPr="00084333" w:rsidRDefault="00084333" w:rsidP="00084333">
            <w:pPr>
              <w:rPr>
                <w:rFonts w:ascii="Arial" w:hAnsi="Arial" w:cs="Arial"/>
                <w:i/>
                <w:sz w:val="24"/>
                <w:szCs w:val="24"/>
              </w:rPr>
            </w:pPr>
          </w:p>
          <w:p w:rsidR="00084333" w:rsidRPr="00084333" w:rsidRDefault="00084333" w:rsidP="00084333">
            <w:pPr>
              <w:rPr>
                <w:rFonts w:ascii="Arial" w:hAnsi="Arial" w:cs="Arial"/>
                <w:sz w:val="24"/>
                <w:szCs w:val="24"/>
              </w:rPr>
            </w:pPr>
            <w:r w:rsidRPr="00084333">
              <w:rPr>
                <w:rFonts w:ascii="Arial" w:hAnsi="Arial" w:cs="Arial"/>
                <w:i/>
                <w:sz w:val="24"/>
                <w:szCs w:val="24"/>
              </w:rPr>
              <w:t xml:space="preserve">„Leitender Ministerialrat Thomas Buch (MULNV) beantwortet die Frage, ob bei den phosphatbelasteten Oberflächengewässern das Thema „Gewässerrandstreifenverordnung“ als ausreichend wirksam eingeschätzt werde. Bei den phosphatbelasteten Oberflächengewässern werde auf die Ausweisung einer Kulisse nach § 13 Absatz 2 Satz 2 verzichtet, da die Regelung des § 31 Landeswassergesetz in Verbindung mit einer Gewässerrandstreifenverordnung als ausreichend wirksam eingeschätzt werde. Insofern seien keine zusätzlichen Maßnahmen geboten. In diesem Zusammenhang bestehe mit den Landwirtschaftsverbänden </w:t>
            </w:r>
            <w:r w:rsidRPr="00084333">
              <w:rPr>
                <w:rFonts w:ascii="Arial" w:hAnsi="Arial" w:cs="Arial"/>
                <w:i/>
                <w:sz w:val="24"/>
                <w:szCs w:val="24"/>
              </w:rPr>
              <w:lastRenderedPageBreak/>
              <w:t xml:space="preserve">Einvernehmen, neue Kooperationen dann zu etablieren, die ein weiteres ordnungsrechtliches Handeln vermeiden sollten.“ </w:t>
            </w:r>
            <w:r w:rsidRPr="00084333">
              <w:rPr>
                <w:rFonts w:ascii="Arial" w:hAnsi="Arial" w:cs="Arial"/>
                <w:sz w:val="24"/>
                <w:szCs w:val="24"/>
              </w:rPr>
              <w:t>(</w:t>
            </w:r>
            <w:proofErr w:type="spellStart"/>
            <w:r w:rsidRPr="00084333">
              <w:rPr>
                <w:rFonts w:ascii="Arial" w:hAnsi="Arial" w:cs="Arial"/>
                <w:sz w:val="24"/>
                <w:szCs w:val="24"/>
              </w:rPr>
              <w:t>APr.</w:t>
            </w:r>
            <w:proofErr w:type="spellEnd"/>
            <w:r w:rsidRPr="00084333">
              <w:rPr>
                <w:rFonts w:ascii="Arial" w:hAnsi="Arial" w:cs="Arial"/>
                <w:sz w:val="24"/>
                <w:szCs w:val="24"/>
              </w:rPr>
              <w:t xml:space="preserve"> 17/354 S. 44)</w:t>
            </w:r>
          </w:p>
          <w:p w:rsidR="00084333" w:rsidRPr="00084333" w:rsidRDefault="00084333" w:rsidP="00084333">
            <w:pPr>
              <w:rPr>
                <w:rFonts w:ascii="Arial" w:hAnsi="Arial" w:cs="Arial"/>
                <w:sz w:val="24"/>
                <w:szCs w:val="24"/>
              </w:rPr>
            </w:pPr>
          </w:p>
          <w:p w:rsidR="00084333" w:rsidRPr="00084333" w:rsidRDefault="00084333" w:rsidP="00084333">
            <w:pPr>
              <w:rPr>
                <w:rFonts w:ascii="Arial" w:hAnsi="Arial" w:cs="Arial"/>
                <w:sz w:val="24"/>
                <w:szCs w:val="24"/>
              </w:rPr>
            </w:pPr>
            <w:r w:rsidRPr="00084333">
              <w:rPr>
                <w:rFonts w:ascii="Arial" w:hAnsi="Arial" w:cs="Arial"/>
                <w:sz w:val="24"/>
                <w:szCs w:val="24"/>
              </w:rPr>
              <w:t xml:space="preserve">Inwieweit die Neuregelungen der </w:t>
            </w:r>
            <w:proofErr w:type="spellStart"/>
            <w:r w:rsidRPr="00084333">
              <w:rPr>
                <w:rFonts w:ascii="Arial" w:hAnsi="Arial" w:cs="Arial"/>
                <w:sz w:val="24"/>
                <w:szCs w:val="24"/>
              </w:rPr>
              <w:t>DüngeVO</w:t>
            </w:r>
            <w:proofErr w:type="spellEnd"/>
            <w:r w:rsidRPr="00084333">
              <w:rPr>
                <w:rFonts w:ascii="Arial" w:hAnsi="Arial" w:cs="Arial"/>
                <w:sz w:val="24"/>
                <w:szCs w:val="24"/>
              </w:rPr>
              <w:t xml:space="preserve"> hier tatsächlich Verbesserungen bringen, bleibt abzuwarten.</w:t>
            </w:r>
          </w:p>
          <w:p w:rsidR="00084333" w:rsidRPr="00084333" w:rsidRDefault="00084333" w:rsidP="00084333">
            <w:pPr>
              <w:rPr>
                <w:rFonts w:ascii="Arial" w:hAnsi="Arial" w:cs="Arial"/>
                <w:sz w:val="24"/>
                <w:szCs w:val="24"/>
              </w:rPr>
            </w:pPr>
          </w:p>
          <w:p w:rsidR="00084333" w:rsidRPr="00084333" w:rsidRDefault="00084333" w:rsidP="00084333">
            <w:pPr>
              <w:rPr>
                <w:rFonts w:ascii="Arial" w:hAnsi="Arial" w:cs="Arial"/>
                <w:sz w:val="24"/>
                <w:szCs w:val="24"/>
              </w:rPr>
            </w:pPr>
            <w:r w:rsidRPr="00084333">
              <w:rPr>
                <w:rFonts w:ascii="Arial" w:hAnsi="Arial" w:cs="Arial"/>
                <w:sz w:val="24"/>
                <w:szCs w:val="24"/>
              </w:rPr>
              <w:t>Der Wegfall des Verbotes der Lagerung und des Einsatzes von Pflanzenschutzmitteln in Gewässernäher ist im Fachrecht nicht ausreichend geregelt. Von daher sollte die Regelung verbleiben.</w:t>
            </w:r>
          </w:p>
          <w:p w:rsidR="00084333" w:rsidRPr="00084333" w:rsidRDefault="00084333" w:rsidP="00084333">
            <w:pPr>
              <w:rPr>
                <w:rFonts w:ascii="Arial" w:hAnsi="Arial" w:cs="Arial"/>
                <w:sz w:val="24"/>
                <w:szCs w:val="24"/>
              </w:rPr>
            </w:pPr>
          </w:p>
          <w:p w:rsidR="00084333" w:rsidRPr="00084333" w:rsidRDefault="00084333" w:rsidP="00084333">
            <w:pPr>
              <w:rPr>
                <w:rFonts w:ascii="Arial" w:hAnsi="Arial" w:cs="Arial"/>
                <w:sz w:val="24"/>
                <w:szCs w:val="24"/>
              </w:rPr>
            </w:pPr>
            <w:r w:rsidRPr="00084333">
              <w:rPr>
                <w:rFonts w:ascii="Arial" w:hAnsi="Arial" w:cs="Arial"/>
                <w:sz w:val="24"/>
                <w:szCs w:val="24"/>
              </w:rPr>
              <w:t>Auch das Bauverbot im Innenbereich sollte beibehalten werden. Die Argumentation, dass in der Regel Baurecht besteht, ist nicht überzeugend. Gerade im ländlichen Bereich, der sehr dörflich strukturiert ist, gibt es viele Bereiche, die nach § 34 BauGB zu beurteilen sind.</w:t>
            </w:r>
          </w:p>
          <w:p w:rsidR="00084333" w:rsidRPr="00084333" w:rsidRDefault="00084333" w:rsidP="00084333">
            <w:pPr>
              <w:rPr>
                <w:rFonts w:ascii="Arial" w:hAnsi="Arial" w:cs="Arial"/>
                <w:sz w:val="24"/>
                <w:szCs w:val="24"/>
              </w:rPr>
            </w:pPr>
          </w:p>
          <w:p w:rsidR="00084333" w:rsidRPr="00084333" w:rsidRDefault="00084333" w:rsidP="00084333">
            <w:pPr>
              <w:rPr>
                <w:rFonts w:ascii="Arial" w:hAnsi="Arial" w:cs="Arial"/>
                <w:sz w:val="24"/>
                <w:szCs w:val="24"/>
              </w:rPr>
            </w:pPr>
            <w:r w:rsidRPr="00084333">
              <w:rPr>
                <w:rFonts w:ascii="Arial" w:hAnsi="Arial" w:cs="Arial"/>
                <w:sz w:val="24"/>
                <w:szCs w:val="24"/>
              </w:rPr>
              <w:t>Soweit in dem Absatz 4 (neu) Kooperationsvereinbarungen vorgeschlagen werden, wäre der Abschluss einer „Rahmenkooperationsvereinbarung“ sinnvoll, an der die Wasserwirtschaft beteiligt ist. Im Rahmen einer solchen Kooperation dürfen der Wasserwirtschaft keine überobligatorischen Kosten aufgebürdet werden.</w:t>
            </w:r>
          </w:p>
          <w:p w:rsidR="0030358D" w:rsidRDefault="0030358D">
            <w:pPr>
              <w:rPr>
                <w:rFonts w:ascii="Arial" w:hAnsi="Arial" w:cs="Arial"/>
                <w:sz w:val="24"/>
                <w:szCs w:val="24"/>
              </w:rPr>
            </w:pPr>
          </w:p>
        </w:tc>
      </w:tr>
      <w:tr w:rsidR="0053659D" w:rsidTr="006F20EA">
        <w:tc>
          <w:tcPr>
            <w:tcW w:w="988" w:type="dxa"/>
          </w:tcPr>
          <w:p w:rsidR="0053659D" w:rsidRDefault="00B05388">
            <w:pPr>
              <w:rPr>
                <w:rFonts w:ascii="Arial" w:hAnsi="Arial" w:cs="Arial"/>
                <w:sz w:val="24"/>
                <w:szCs w:val="24"/>
              </w:rPr>
            </w:pPr>
            <w:r>
              <w:rPr>
                <w:rFonts w:ascii="Arial" w:hAnsi="Arial" w:cs="Arial"/>
                <w:sz w:val="24"/>
                <w:szCs w:val="24"/>
              </w:rPr>
              <w:lastRenderedPageBreak/>
              <w:t>§ 35</w:t>
            </w:r>
          </w:p>
        </w:tc>
        <w:tc>
          <w:tcPr>
            <w:tcW w:w="8074" w:type="dxa"/>
          </w:tcPr>
          <w:p w:rsidR="00084333" w:rsidRPr="00084333" w:rsidRDefault="00084333" w:rsidP="00084333">
            <w:pPr>
              <w:rPr>
                <w:rFonts w:ascii="Arial" w:hAnsi="Arial" w:cs="Arial"/>
                <w:sz w:val="24"/>
                <w:szCs w:val="24"/>
              </w:rPr>
            </w:pPr>
            <w:r w:rsidRPr="00084333">
              <w:rPr>
                <w:rFonts w:ascii="Arial" w:hAnsi="Arial" w:cs="Arial"/>
                <w:sz w:val="24"/>
                <w:szCs w:val="24"/>
              </w:rPr>
              <w:t>Es ist fraglich, ob eine Verlagerung der Regelungen zum Abgrabungsverbot in Wasserschutzgebieten auf Grund der massiven Grundrechtseinschränkungen ohne eine gesetzliche Ermächtigungsgrundlage erfolgen kann.</w:t>
            </w:r>
          </w:p>
          <w:p w:rsidR="00506788" w:rsidRDefault="00506788">
            <w:pPr>
              <w:rPr>
                <w:rFonts w:ascii="Arial" w:hAnsi="Arial" w:cs="Arial"/>
                <w:sz w:val="24"/>
                <w:szCs w:val="24"/>
              </w:rPr>
            </w:pPr>
          </w:p>
        </w:tc>
      </w:tr>
      <w:tr w:rsidR="0053659D" w:rsidTr="006F20EA">
        <w:tc>
          <w:tcPr>
            <w:tcW w:w="988" w:type="dxa"/>
          </w:tcPr>
          <w:p w:rsidR="0053659D" w:rsidRDefault="00B05388">
            <w:pPr>
              <w:rPr>
                <w:rFonts w:ascii="Arial" w:hAnsi="Arial" w:cs="Arial"/>
                <w:sz w:val="24"/>
                <w:szCs w:val="24"/>
              </w:rPr>
            </w:pPr>
            <w:r>
              <w:rPr>
                <w:rFonts w:ascii="Arial" w:hAnsi="Arial" w:cs="Arial"/>
                <w:sz w:val="24"/>
                <w:szCs w:val="24"/>
              </w:rPr>
              <w:t>§ 37</w:t>
            </w:r>
          </w:p>
        </w:tc>
        <w:tc>
          <w:tcPr>
            <w:tcW w:w="8074" w:type="dxa"/>
          </w:tcPr>
          <w:p w:rsidR="0053659D" w:rsidRDefault="00B05388" w:rsidP="00A07548">
            <w:pPr>
              <w:rPr>
                <w:rFonts w:ascii="Arial" w:hAnsi="Arial" w:cs="Arial"/>
                <w:sz w:val="24"/>
                <w:szCs w:val="24"/>
              </w:rPr>
            </w:pPr>
            <w:r>
              <w:rPr>
                <w:rFonts w:ascii="Arial" w:hAnsi="Arial" w:cs="Arial"/>
                <w:sz w:val="24"/>
                <w:szCs w:val="24"/>
              </w:rPr>
              <w:t>Vorrang öffentlicher Trinkwasserversorgung</w:t>
            </w:r>
            <w:r w:rsidR="00A07548">
              <w:rPr>
                <w:rFonts w:ascii="Arial" w:hAnsi="Arial" w:cs="Arial"/>
                <w:sz w:val="24"/>
                <w:szCs w:val="24"/>
              </w:rPr>
              <w:t>: P</w:t>
            </w:r>
            <w:r>
              <w:rPr>
                <w:rFonts w:ascii="Arial" w:hAnsi="Arial" w:cs="Arial"/>
                <w:sz w:val="24"/>
                <w:szCs w:val="24"/>
              </w:rPr>
              <w:t>ositiv</w:t>
            </w:r>
            <w:r w:rsidR="00A06F92">
              <w:rPr>
                <w:rFonts w:ascii="Arial" w:hAnsi="Arial" w:cs="Arial"/>
                <w:sz w:val="24"/>
                <w:szCs w:val="24"/>
              </w:rPr>
              <w:t xml:space="preserve">, entspricht weitgehend dem Vorschlag der </w:t>
            </w:r>
            <w:proofErr w:type="spellStart"/>
            <w:r w:rsidR="00A06F92">
              <w:rPr>
                <w:rFonts w:ascii="Arial" w:hAnsi="Arial" w:cs="Arial"/>
                <w:sz w:val="24"/>
                <w:szCs w:val="24"/>
              </w:rPr>
              <w:t>agw</w:t>
            </w:r>
            <w:proofErr w:type="spellEnd"/>
          </w:p>
          <w:p w:rsidR="00506788" w:rsidRDefault="00506788" w:rsidP="00A07548">
            <w:pPr>
              <w:rPr>
                <w:rFonts w:ascii="Arial" w:hAnsi="Arial" w:cs="Arial"/>
                <w:sz w:val="24"/>
                <w:szCs w:val="24"/>
              </w:rPr>
            </w:pPr>
          </w:p>
        </w:tc>
      </w:tr>
      <w:tr w:rsidR="0053659D" w:rsidTr="006F20EA">
        <w:tc>
          <w:tcPr>
            <w:tcW w:w="988" w:type="dxa"/>
          </w:tcPr>
          <w:p w:rsidR="0053659D" w:rsidRDefault="00B05388">
            <w:pPr>
              <w:rPr>
                <w:rFonts w:ascii="Arial" w:hAnsi="Arial" w:cs="Arial"/>
                <w:sz w:val="24"/>
                <w:szCs w:val="24"/>
              </w:rPr>
            </w:pPr>
            <w:r>
              <w:rPr>
                <w:rFonts w:ascii="Arial" w:hAnsi="Arial" w:cs="Arial"/>
                <w:sz w:val="24"/>
                <w:szCs w:val="24"/>
              </w:rPr>
              <w:t>§ 52 II</w:t>
            </w:r>
          </w:p>
        </w:tc>
        <w:tc>
          <w:tcPr>
            <w:tcW w:w="8074" w:type="dxa"/>
          </w:tcPr>
          <w:p w:rsidR="0053659D" w:rsidRDefault="00D76B0A" w:rsidP="00A07548">
            <w:pPr>
              <w:rPr>
                <w:rFonts w:ascii="Arial" w:hAnsi="Arial" w:cs="Arial"/>
                <w:sz w:val="24"/>
                <w:szCs w:val="24"/>
              </w:rPr>
            </w:pPr>
            <w:r>
              <w:rPr>
                <w:rFonts w:ascii="Arial" w:hAnsi="Arial" w:cs="Arial"/>
                <w:sz w:val="24"/>
                <w:szCs w:val="24"/>
              </w:rPr>
              <w:t xml:space="preserve">Die </w:t>
            </w:r>
            <w:r w:rsidR="00B05388">
              <w:rPr>
                <w:rFonts w:ascii="Arial" w:hAnsi="Arial" w:cs="Arial"/>
                <w:sz w:val="24"/>
                <w:szCs w:val="24"/>
              </w:rPr>
              <w:t>Erweiterung der übertragenen Pflichten bei Kanalnetzübernahme</w:t>
            </w:r>
            <w:r>
              <w:rPr>
                <w:rFonts w:ascii="Arial" w:hAnsi="Arial" w:cs="Arial"/>
                <w:sz w:val="24"/>
                <w:szCs w:val="24"/>
              </w:rPr>
              <w:t>n</w:t>
            </w:r>
            <w:r w:rsidR="00B05388">
              <w:rPr>
                <w:rFonts w:ascii="Arial" w:hAnsi="Arial" w:cs="Arial"/>
                <w:sz w:val="24"/>
                <w:szCs w:val="24"/>
              </w:rPr>
              <w:t xml:space="preserve"> zum Lückenschluss</w:t>
            </w:r>
            <w:r w:rsidR="00F93B6C">
              <w:rPr>
                <w:rFonts w:ascii="Arial" w:hAnsi="Arial" w:cs="Arial"/>
                <w:sz w:val="24"/>
                <w:szCs w:val="24"/>
              </w:rPr>
              <w:t xml:space="preserve"> ist p</w:t>
            </w:r>
            <w:r w:rsidR="00B05388">
              <w:rPr>
                <w:rFonts w:ascii="Arial" w:hAnsi="Arial" w:cs="Arial"/>
                <w:sz w:val="24"/>
                <w:szCs w:val="24"/>
              </w:rPr>
              <w:t>ositiv</w:t>
            </w:r>
            <w:r w:rsidR="00F93B6C">
              <w:rPr>
                <w:rFonts w:ascii="Arial" w:hAnsi="Arial" w:cs="Arial"/>
                <w:sz w:val="24"/>
                <w:szCs w:val="24"/>
              </w:rPr>
              <w:t>. Im Detail können hierzu die Kollegen der Verbände mehr beitragen, die bereits Kanalnetze übernommen haben – wenn die Formulierung nicht sogar bereits von ihnen stammt.</w:t>
            </w:r>
          </w:p>
          <w:p w:rsidR="00506788" w:rsidRDefault="00506788" w:rsidP="00A07548">
            <w:pPr>
              <w:rPr>
                <w:rFonts w:ascii="Arial" w:hAnsi="Arial" w:cs="Arial"/>
                <w:sz w:val="24"/>
                <w:szCs w:val="24"/>
              </w:rPr>
            </w:pPr>
          </w:p>
        </w:tc>
      </w:tr>
      <w:tr w:rsidR="0053659D" w:rsidTr="006F20EA">
        <w:tc>
          <w:tcPr>
            <w:tcW w:w="988" w:type="dxa"/>
          </w:tcPr>
          <w:p w:rsidR="0053659D" w:rsidRDefault="00666E08">
            <w:pPr>
              <w:rPr>
                <w:rFonts w:ascii="Arial" w:hAnsi="Arial" w:cs="Arial"/>
                <w:sz w:val="24"/>
                <w:szCs w:val="24"/>
              </w:rPr>
            </w:pPr>
            <w:r>
              <w:rPr>
                <w:rFonts w:ascii="Arial" w:hAnsi="Arial" w:cs="Arial"/>
                <w:sz w:val="24"/>
                <w:szCs w:val="24"/>
              </w:rPr>
              <w:t>§</w:t>
            </w:r>
            <w:r w:rsidR="00AC6833">
              <w:rPr>
                <w:rFonts w:ascii="Arial" w:hAnsi="Arial" w:cs="Arial"/>
                <w:sz w:val="24"/>
                <w:szCs w:val="24"/>
              </w:rPr>
              <w:t xml:space="preserve"> </w:t>
            </w:r>
            <w:r>
              <w:rPr>
                <w:rFonts w:ascii="Arial" w:hAnsi="Arial" w:cs="Arial"/>
                <w:sz w:val="24"/>
                <w:szCs w:val="24"/>
              </w:rPr>
              <w:t>58</w:t>
            </w:r>
          </w:p>
        </w:tc>
        <w:tc>
          <w:tcPr>
            <w:tcW w:w="8074" w:type="dxa"/>
          </w:tcPr>
          <w:p w:rsidR="00942892" w:rsidRPr="00942892" w:rsidRDefault="00942892" w:rsidP="00942892">
            <w:pPr>
              <w:rPr>
                <w:rFonts w:ascii="Arial" w:hAnsi="Arial" w:cs="Arial"/>
                <w:sz w:val="24"/>
                <w:szCs w:val="24"/>
              </w:rPr>
            </w:pPr>
            <w:r>
              <w:rPr>
                <w:rFonts w:ascii="Arial" w:hAnsi="Arial" w:cs="Arial"/>
                <w:sz w:val="24"/>
                <w:szCs w:val="24"/>
              </w:rPr>
              <w:t xml:space="preserve">Die </w:t>
            </w:r>
            <w:r w:rsidRPr="00942892">
              <w:rPr>
                <w:rFonts w:ascii="Arial" w:hAnsi="Arial" w:cs="Arial"/>
                <w:sz w:val="24"/>
                <w:szCs w:val="24"/>
              </w:rPr>
              <w:t>Einleitung flüssiger Stoffe in die Abwasseranlage bedarf nicht mehr der Genehmigung, sondern ist nur noch anzuzeigen</w:t>
            </w:r>
            <w:r>
              <w:rPr>
                <w:rFonts w:ascii="Arial" w:hAnsi="Arial" w:cs="Arial"/>
                <w:sz w:val="24"/>
                <w:szCs w:val="24"/>
              </w:rPr>
              <w:t xml:space="preserve"> mit einer </w:t>
            </w:r>
            <w:r w:rsidRPr="00942892">
              <w:rPr>
                <w:rFonts w:ascii="Arial" w:hAnsi="Arial" w:cs="Arial"/>
                <w:sz w:val="24"/>
                <w:szCs w:val="24"/>
              </w:rPr>
              <w:t xml:space="preserve">Genehmigungsfiktion nach Ablauf von 4 Wochen. </w:t>
            </w:r>
          </w:p>
          <w:p w:rsidR="00942892" w:rsidRPr="00942892" w:rsidRDefault="00942892" w:rsidP="00942892">
            <w:pPr>
              <w:rPr>
                <w:rFonts w:ascii="Arial" w:hAnsi="Arial" w:cs="Arial"/>
                <w:sz w:val="24"/>
                <w:szCs w:val="24"/>
              </w:rPr>
            </w:pPr>
            <w:r w:rsidRPr="00942892">
              <w:rPr>
                <w:rFonts w:ascii="Arial" w:hAnsi="Arial" w:cs="Arial"/>
                <w:sz w:val="24"/>
                <w:szCs w:val="24"/>
              </w:rPr>
              <w:t xml:space="preserve">Die Beibehaltung der Genehmigungspflicht ist ein wirksamerer Schutz der Gewässer, falls Behörden unbeabsichtigt Fristen verstreichen lassen. </w:t>
            </w:r>
            <w:r>
              <w:rPr>
                <w:rFonts w:ascii="Arial" w:hAnsi="Arial" w:cs="Arial"/>
                <w:sz w:val="24"/>
                <w:szCs w:val="24"/>
              </w:rPr>
              <w:t>Sie sollte beibehalten werden.</w:t>
            </w:r>
          </w:p>
          <w:p w:rsidR="00506788" w:rsidRDefault="00506788" w:rsidP="00A07548">
            <w:pPr>
              <w:rPr>
                <w:rFonts w:ascii="Arial" w:hAnsi="Arial" w:cs="Arial"/>
                <w:sz w:val="24"/>
                <w:szCs w:val="24"/>
              </w:rPr>
            </w:pPr>
          </w:p>
        </w:tc>
      </w:tr>
      <w:tr w:rsidR="0053659D" w:rsidTr="006F20EA">
        <w:tc>
          <w:tcPr>
            <w:tcW w:w="988" w:type="dxa"/>
          </w:tcPr>
          <w:p w:rsidR="0053659D" w:rsidRDefault="00666E08">
            <w:pPr>
              <w:rPr>
                <w:rFonts w:ascii="Arial" w:hAnsi="Arial" w:cs="Arial"/>
                <w:sz w:val="24"/>
                <w:szCs w:val="24"/>
              </w:rPr>
            </w:pPr>
            <w:r>
              <w:rPr>
                <w:rFonts w:ascii="Arial" w:hAnsi="Arial" w:cs="Arial"/>
                <w:sz w:val="24"/>
                <w:szCs w:val="24"/>
              </w:rPr>
              <w:t>§</w:t>
            </w:r>
            <w:r w:rsidR="00AC6833">
              <w:rPr>
                <w:rFonts w:ascii="Arial" w:hAnsi="Arial" w:cs="Arial"/>
                <w:sz w:val="24"/>
                <w:szCs w:val="24"/>
              </w:rPr>
              <w:t xml:space="preserve"> </w:t>
            </w:r>
            <w:r>
              <w:rPr>
                <w:rFonts w:ascii="Arial" w:hAnsi="Arial" w:cs="Arial"/>
                <w:sz w:val="24"/>
                <w:szCs w:val="24"/>
              </w:rPr>
              <w:t>73</w:t>
            </w:r>
          </w:p>
        </w:tc>
        <w:tc>
          <w:tcPr>
            <w:tcW w:w="8074" w:type="dxa"/>
          </w:tcPr>
          <w:p w:rsidR="006F20EA" w:rsidRPr="00B241FF" w:rsidRDefault="006F20EA" w:rsidP="006F20EA">
            <w:pPr>
              <w:rPr>
                <w:rFonts w:ascii="Arial" w:hAnsi="Arial" w:cs="Arial"/>
                <w:sz w:val="24"/>
                <w:szCs w:val="24"/>
              </w:rPr>
            </w:pPr>
            <w:r w:rsidRPr="00B241FF">
              <w:rPr>
                <w:rFonts w:ascii="Arial" w:hAnsi="Arial" w:cs="Arial"/>
                <w:sz w:val="24"/>
                <w:szCs w:val="24"/>
              </w:rPr>
              <w:t>Da die Anwendung der bisherigen Regelung ausgesetzt wurde, gibt es keine Erfahrung mit dem Vorkaufsrecht.</w:t>
            </w:r>
          </w:p>
          <w:p w:rsidR="006F20EA" w:rsidRPr="00B241FF" w:rsidRDefault="006F20EA" w:rsidP="006F20EA">
            <w:pPr>
              <w:rPr>
                <w:rFonts w:ascii="Arial" w:hAnsi="Arial" w:cs="Arial"/>
                <w:sz w:val="24"/>
                <w:szCs w:val="24"/>
              </w:rPr>
            </w:pPr>
          </w:p>
          <w:p w:rsidR="006F20EA" w:rsidRPr="00B241FF" w:rsidRDefault="006F20EA" w:rsidP="006F20EA">
            <w:pPr>
              <w:rPr>
                <w:rFonts w:ascii="Arial" w:hAnsi="Arial" w:cs="Arial"/>
                <w:sz w:val="24"/>
                <w:szCs w:val="24"/>
              </w:rPr>
            </w:pPr>
            <w:r w:rsidRPr="00B241FF">
              <w:rPr>
                <w:rFonts w:ascii="Arial" w:hAnsi="Arial" w:cs="Arial"/>
                <w:sz w:val="24"/>
                <w:szCs w:val="24"/>
              </w:rPr>
              <w:t>Auf der Seite des LANUV heißt es zum Vorkaufsrecht:</w:t>
            </w:r>
          </w:p>
          <w:p w:rsidR="006F20EA" w:rsidRPr="00B241FF" w:rsidRDefault="006F20EA" w:rsidP="006F20EA">
            <w:pPr>
              <w:rPr>
                <w:rFonts w:ascii="Arial" w:hAnsi="Arial" w:cs="Arial"/>
                <w:sz w:val="24"/>
                <w:szCs w:val="24"/>
              </w:rPr>
            </w:pPr>
          </w:p>
          <w:p w:rsidR="006F20EA" w:rsidRPr="00B241FF" w:rsidRDefault="006F20EA" w:rsidP="006F20EA">
            <w:pPr>
              <w:rPr>
                <w:rFonts w:ascii="Arial" w:hAnsi="Arial" w:cs="Arial"/>
                <w:b/>
                <w:i/>
                <w:sz w:val="24"/>
                <w:szCs w:val="24"/>
              </w:rPr>
            </w:pPr>
            <w:r w:rsidRPr="00B241FF">
              <w:rPr>
                <w:rFonts w:ascii="Arial" w:hAnsi="Arial" w:cs="Arial"/>
                <w:b/>
                <w:i/>
                <w:sz w:val="24"/>
                <w:szCs w:val="24"/>
              </w:rPr>
              <w:t>„Vorkaufsrechte nach § 73 Landeswassergesetz NRW (LWG) und § 74 Landesnaturschutzgesetz NRW (</w:t>
            </w:r>
            <w:proofErr w:type="spellStart"/>
            <w:r w:rsidRPr="00B241FF">
              <w:rPr>
                <w:rFonts w:ascii="Arial" w:hAnsi="Arial" w:cs="Arial"/>
                <w:b/>
                <w:i/>
                <w:sz w:val="24"/>
                <w:szCs w:val="24"/>
              </w:rPr>
              <w:t>LNatSchG</w:t>
            </w:r>
            <w:proofErr w:type="spellEnd"/>
            <w:r w:rsidRPr="00B241FF">
              <w:rPr>
                <w:rFonts w:ascii="Arial" w:hAnsi="Arial" w:cs="Arial"/>
                <w:b/>
                <w:i/>
                <w:sz w:val="24"/>
                <w:szCs w:val="24"/>
              </w:rPr>
              <w:t xml:space="preserve">) </w:t>
            </w:r>
            <w:proofErr w:type="spellStart"/>
            <w:r w:rsidRPr="00B241FF">
              <w:rPr>
                <w:rFonts w:ascii="Arial" w:hAnsi="Arial" w:cs="Arial"/>
                <w:b/>
                <w:i/>
                <w:sz w:val="24"/>
                <w:szCs w:val="24"/>
              </w:rPr>
              <w:t>i.V.m</w:t>
            </w:r>
            <w:proofErr w:type="spellEnd"/>
            <w:r w:rsidRPr="00B241FF">
              <w:rPr>
                <w:rFonts w:ascii="Arial" w:hAnsi="Arial" w:cs="Arial"/>
                <w:b/>
                <w:i/>
                <w:sz w:val="24"/>
                <w:szCs w:val="24"/>
              </w:rPr>
              <w:t>. § 66 BNatSchG werden zurzeit nicht vollzogen: Internetkataster ist nicht eingeführt</w:t>
            </w:r>
          </w:p>
          <w:p w:rsidR="006F20EA" w:rsidRPr="00B241FF" w:rsidRDefault="006F20EA" w:rsidP="006F20EA">
            <w:pPr>
              <w:rPr>
                <w:rFonts w:ascii="Arial" w:hAnsi="Arial" w:cs="Arial"/>
                <w:sz w:val="24"/>
                <w:szCs w:val="24"/>
              </w:rPr>
            </w:pPr>
          </w:p>
          <w:p w:rsidR="006F20EA" w:rsidRPr="00B241FF" w:rsidRDefault="006F20EA" w:rsidP="006F20EA">
            <w:pPr>
              <w:rPr>
                <w:rFonts w:ascii="Arial" w:hAnsi="Arial" w:cs="Arial"/>
                <w:i/>
                <w:sz w:val="24"/>
                <w:szCs w:val="24"/>
              </w:rPr>
            </w:pPr>
            <w:r w:rsidRPr="00B241FF">
              <w:rPr>
                <w:rFonts w:ascii="Arial" w:hAnsi="Arial" w:cs="Arial"/>
                <w:i/>
                <w:sz w:val="24"/>
                <w:szCs w:val="24"/>
              </w:rPr>
              <w:lastRenderedPageBreak/>
              <w:t>Voraussetzung für die Entstehung der Vorkaufrechte nach § 73 Landeswassergesetz NRW (LWG) und § 74 Landesnaturschutzgesetz NRW (</w:t>
            </w:r>
            <w:proofErr w:type="spellStart"/>
            <w:r w:rsidRPr="00B241FF">
              <w:rPr>
                <w:rFonts w:ascii="Arial" w:hAnsi="Arial" w:cs="Arial"/>
                <w:i/>
                <w:sz w:val="24"/>
                <w:szCs w:val="24"/>
              </w:rPr>
              <w:t>LNatSchG</w:t>
            </w:r>
            <w:proofErr w:type="spellEnd"/>
            <w:r w:rsidRPr="00B241FF">
              <w:rPr>
                <w:rFonts w:ascii="Arial" w:hAnsi="Arial" w:cs="Arial"/>
                <w:i/>
                <w:sz w:val="24"/>
                <w:szCs w:val="24"/>
              </w:rPr>
              <w:t xml:space="preserve">) </w:t>
            </w:r>
            <w:proofErr w:type="spellStart"/>
            <w:r w:rsidRPr="00B241FF">
              <w:rPr>
                <w:rFonts w:ascii="Arial" w:hAnsi="Arial" w:cs="Arial"/>
                <w:i/>
                <w:sz w:val="24"/>
                <w:szCs w:val="24"/>
              </w:rPr>
              <w:t>i.V.m</w:t>
            </w:r>
            <w:proofErr w:type="spellEnd"/>
            <w:r w:rsidRPr="00B241FF">
              <w:rPr>
                <w:rFonts w:ascii="Arial" w:hAnsi="Arial" w:cs="Arial"/>
                <w:i/>
                <w:sz w:val="24"/>
                <w:szCs w:val="24"/>
              </w:rPr>
              <w:t>. § 66 BNatSchG ist, dass betroffene Grundstücke im Zeitpunkt des Vertragsschlusses in einem öffentlichen Verzeichnis aufgeführt sind (konstitutive Wirkung des Verzeichnisses). Dieses Vorkaufsrechtsverzeichnis dient der Beschleunigung des Grundstücksverkehrs sowie der Entlastung der für die Fachprüfung beider Vorkaufsrechte zuständigen Bezirksregierungen und soll elektronisch geführt werden.</w:t>
            </w:r>
          </w:p>
          <w:p w:rsidR="006F20EA" w:rsidRPr="00B241FF" w:rsidRDefault="006F20EA" w:rsidP="006F20EA">
            <w:pPr>
              <w:rPr>
                <w:rFonts w:ascii="Arial" w:hAnsi="Arial" w:cs="Arial"/>
                <w:i/>
                <w:sz w:val="24"/>
                <w:szCs w:val="24"/>
              </w:rPr>
            </w:pPr>
          </w:p>
          <w:p w:rsidR="006F20EA" w:rsidRPr="00B241FF" w:rsidRDefault="006F20EA" w:rsidP="006F20EA">
            <w:pPr>
              <w:rPr>
                <w:rFonts w:ascii="Arial" w:hAnsi="Arial" w:cs="Arial"/>
                <w:i/>
                <w:sz w:val="24"/>
                <w:szCs w:val="24"/>
              </w:rPr>
            </w:pPr>
            <w:r w:rsidRPr="00B241FF">
              <w:rPr>
                <w:rFonts w:ascii="Arial" w:hAnsi="Arial" w:cs="Arial"/>
                <w:i/>
                <w:sz w:val="24"/>
                <w:szCs w:val="24"/>
              </w:rPr>
              <w:t>Das Verzeichnis (</w:t>
            </w:r>
            <w:proofErr w:type="spellStart"/>
            <w:r w:rsidRPr="00B241FF">
              <w:rPr>
                <w:rFonts w:ascii="Arial" w:hAnsi="Arial" w:cs="Arial"/>
                <w:i/>
                <w:sz w:val="24"/>
                <w:szCs w:val="24"/>
              </w:rPr>
              <w:t>i.V.m</w:t>
            </w:r>
            <w:proofErr w:type="spellEnd"/>
            <w:r w:rsidRPr="00B241FF">
              <w:rPr>
                <w:rFonts w:ascii="Arial" w:hAnsi="Arial" w:cs="Arial"/>
                <w:i/>
                <w:sz w:val="24"/>
                <w:szCs w:val="24"/>
              </w:rPr>
              <w:t>. dem Internetkataster „VOKAR“) ist bislang noch nicht veröffentlicht. Erst im Zeitpunkt der Veröffentlichung werden die neuen Vorkaufsrechte rechtlich entstehen und können vollzogen werden.</w:t>
            </w:r>
          </w:p>
          <w:p w:rsidR="006F20EA" w:rsidRPr="00B241FF" w:rsidRDefault="006F20EA" w:rsidP="006F20EA">
            <w:pPr>
              <w:rPr>
                <w:rFonts w:ascii="Arial" w:hAnsi="Arial" w:cs="Arial"/>
                <w:i/>
                <w:sz w:val="24"/>
                <w:szCs w:val="24"/>
              </w:rPr>
            </w:pPr>
          </w:p>
          <w:p w:rsidR="006F20EA" w:rsidRPr="00B241FF" w:rsidRDefault="006F20EA" w:rsidP="006F20EA">
            <w:pPr>
              <w:rPr>
                <w:rFonts w:ascii="Arial" w:hAnsi="Arial" w:cs="Arial"/>
                <w:i/>
                <w:sz w:val="24"/>
                <w:szCs w:val="24"/>
              </w:rPr>
            </w:pPr>
            <w:r w:rsidRPr="00B241FF">
              <w:rPr>
                <w:rFonts w:ascii="Arial" w:hAnsi="Arial" w:cs="Arial"/>
                <w:i/>
                <w:sz w:val="24"/>
                <w:szCs w:val="24"/>
              </w:rPr>
              <w:t>Nach aktueller Auffassung wird das landesrechtliche naturschutzrechtliche Vorkaufsrecht beibehalten. Zurzeit wird noch die genaue Ausgestaltung geprüft.</w:t>
            </w:r>
          </w:p>
          <w:p w:rsidR="006F20EA" w:rsidRPr="00B241FF" w:rsidRDefault="006F20EA" w:rsidP="006F20EA">
            <w:pPr>
              <w:rPr>
                <w:rFonts w:ascii="Arial" w:hAnsi="Arial" w:cs="Arial"/>
                <w:i/>
                <w:sz w:val="24"/>
                <w:szCs w:val="24"/>
              </w:rPr>
            </w:pPr>
          </w:p>
          <w:p w:rsidR="006F20EA" w:rsidRPr="00B241FF" w:rsidRDefault="006F20EA" w:rsidP="006F20EA">
            <w:pPr>
              <w:rPr>
                <w:rFonts w:ascii="Arial" w:hAnsi="Arial" w:cs="Arial"/>
                <w:i/>
                <w:sz w:val="24"/>
                <w:szCs w:val="24"/>
              </w:rPr>
            </w:pPr>
            <w:r w:rsidRPr="00B241FF">
              <w:rPr>
                <w:rFonts w:ascii="Arial" w:hAnsi="Arial" w:cs="Arial"/>
                <w:i/>
                <w:sz w:val="24"/>
                <w:szCs w:val="24"/>
              </w:rPr>
              <w:t>Die betroffenen Behörden werden in einem Einführungserlass über den Beginn des Vollzuges und die Freischaltung des Verzeichnisses rechtzeitig informiert. Notare in NRW erhalten diese Information über die für sie zuständige Notarkammer.“</w:t>
            </w:r>
          </w:p>
          <w:p w:rsidR="006F20EA" w:rsidRPr="00B241FF" w:rsidRDefault="006F20EA" w:rsidP="006F20EA">
            <w:pPr>
              <w:rPr>
                <w:rFonts w:ascii="Arial" w:hAnsi="Arial" w:cs="Arial"/>
                <w:sz w:val="24"/>
                <w:szCs w:val="24"/>
              </w:rPr>
            </w:pPr>
            <w:r w:rsidRPr="00B241FF">
              <w:rPr>
                <w:rFonts w:ascii="Arial" w:hAnsi="Arial" w:cs="Arial"/>
                <w:sz w:val="24"/>
                <w:szCs w:val="24"/>
              </w:rPr>
              <w:t xml:space="preserve">(Quelle: </w:t>
            </w:r>
            <w:hyperlink r:id="rId4" w:history="1">
              <w:r w:rsidRPr="00B241FF">
                <w:rPr>
                  <w:rStyle w:val="Hyperlink"/>
                  <w:rFonts w:ascii="Arial" w:hAnsi="Arial" w:cs="Arial"/>
                  <w:color w:val="auto"/>
                  <w:sz w:val="24"/>
                  <w:szCs w:val="24"/>
                </w:rPr>
                <w:t>https://www.lanuv.nrw.de/landesamt/daten_und_informationsdienste/infosysteme_und_datenbanken/vokar</w:t>
              </w:r>
            </w:hyperlink>
            <w:r w:rsidRPr="00B241FF">
              <w:rPr>
                <w:rFonts w:ascii="Arial" w:hAnsi="Arial" w:cs="Arial"/>
                <w:sz w:val="24"/>
                <w:szCs w:val="24"/>
              </w:rPr>
              <w:t xml:space="preserve"> )</w:t>
            </w:r>
          </w:p>
          <w:p w:rsidR="006F20EA" w:rsidRPr="00B241FF" w:rsidRDefault="006F20EA" w:rsidP="006F20EA">
            <w:pPr>
              <w:rPr>
                <w:rFonts w:ascii="Arial" w:hAnsi="Arial" w:cs="Arial"/>
                <w:sz w:val="24"/>
                <w:szCs w:val="24"/>
              </w:rPr>
            </w:pPr>
          </w:p>
          <w:p w:rsidR="006F20EA" w:rsidRPr="00B241FF" w:rsidRDefault="006F20EA" w:rsidP="006F20EA">
            <w:pPr>
              <w:rPr>
                <w:rFonts w:ascii="Arial" w:hAnsi="Arial" w:cs="Arial"/>
                <w:sz w:val="24"/>
                <w:szCs w:val="24"/>
              </w:rPr>
            </w:pPr>
            <w:r w:rsidRPr="00B241FF">
              <w:rPr>
                <w:rFonts w:ascii="Arial" w:hAnsi="Arial" w:cs="Arial"/>
                <w:sz w:val="24"/>
                <w:szCs w:val="24"/>
              </w:rPr>
              <w:t>Das gesetzliche Vorkaufsrecht sollte in der jetzigen Form beibehalten werden. Es hindert die Behörde auch nach der jetzigen Regelung nicht, freiwillig auf die Geltendmachung des Vorkaufsrechtes zu verzichten. Auch hier hat die Behörde ein entsprechendes Ermessen.</w:t>
            </w:r>
          </w:p>
          <w:p w:rsidR="006F20EA" w:rsidRPr="00B241FF" w:rsidRDefault="006F20EA" w:rsidP="006F20EA">
            <w:pPr>
              <w:rPr>
                <w:rFonts w:ascii="Arial" w:hAnsi="Arial" w:cs="Arial"/>
                <w:sz w:val="24"/>
                <w:szCs w:val="24"/>
              </w:rPr>
            </w:pPr>
            <w:r w:rsidRPr="00B241FF">
              <w:rPr>
                <w:rFonts w:ascii="Arial" w:hAnsi="Arial" w:cs="Arial"/>
                <w:sz w:val="24"/>
                <w:szCs w:val="24"/>
              </w:rPr>
              <w:t>Die Priorität einer Kooperationslösung kann im Ergebnis dazu führen, dass möglicherweise die Grundstückspreise für den Flächenerwerb durch den Maßnahmenträger steigen, weil möglicherweise seitens der Landwirtschaft „Druck“ mit höheren Grundstückspreisen aufgebaut werden.</w:t>
            </w:r>
          </w:p>
          <w:p w:rsidR="006F20EA" w:rsidRPr="00B241FF" w:rsidRDefault="006F20EA" w:rsidP="006F20EA">
            <w:pPr>
              <w:rPr>
                <w:rFonts w:ascii="Arial" w:hAnsi="Arial" w:cs="Arial"/>
                <w:sz w:val="24"/>
                <w:szCs w:val="24"/>
              </w:rPr>
            </w:pPr>
            <w:r w:rsidRPr="00B241FF">
              <w:rPr>
                <w:rFonts w:ascii="Arial" w:hAnsi="Arial" w:cs="Arial"/>
                <w:sz w:val="24"/>
                <w:szCs w:val="24"/>
              </w:rPr>
              <w:t>Ein originäres und nicht subsidiäres Vorkaufsrecht für Gewässerentwicklungsmaßnahmen wäre für diejenigen Verbände sinnvoll, die mit dieser Aufgabe betraut sind. Auch im Sinne einer effektiven Umsetzung der Wasserrahmenrichtlinie könnte ein originäres Vorkaufsrecht sinnvoller sein als die Kooperationslösung.</w:t>
            </w:r>
          </w:p>
          <w:p w:rsidR="006F20EA" w:rsidRPr="00B241FF" w:rsidRDefault="006F20EA" w:rsidP="006F20EA">
            <w:pPr>
              <w:rPr>
                <w:rFonts w:ascii="Arial" w:hAnsi="Arial" w:cs="Arial"/>
                <w:sz w:val="24"/>
                <w:szCs w:val="24"/>
              </w:rPr>
            </w:pPr>
            <w:r w:rsidRPr="00B241FF">
              <w:rPr>
                <w:rFonts w:ascii="Arial" w:hAnsi="Arial" w:cs="Arial"/>
                <w:sz w:val="24"/>
                <w:szCs w:val="24"/>
              </w:rPr>
              <w:t xml:space="preserve">Die Wasserwirtschaft wird sich im Einzelfall Kooperationslösungen, wo sie denn sinnvoll sind, nicht verschließen. </w:t>
            </w:r>
          </w:p>
          <w:p w:rsidR="006F20EA" w:rsidRPr="00B241FF" w:rsidRDefault="006F20EA" w:rsidP="006F20EA">
            <w:pPr>
              <w:rPr>
                <w:rFonts w:ascii="Arial" w:hAnsi="Arial" w:cs="Arial"/>
                <w:sz w:val="24"/>
                <w:szCs w:val="24"/>
              </w:rPr>
            </w:pPr>
            <w:r w:rsidRPr="00B241FF">
              <w:rPr>
                <w:rFonts w:ascii="Arial" w:hAnsi="Arial" w:cs="Arial"/>
                <w:sz w:val="24"/>
                <w:szCs w:val="24"/>
              </w:rPr>
              <w:t>Andere Bodenordnungsmaßnahmen, die auf Freiwilligkeit beruhen (etwa das vereinfachte Flurbereinigungsverfahren nach § 81 FlurbG) werden von der Wasserwirtschaft auch schon jetzt initiiert und mitgetragen.</w:t>
            </w:r>
          </w:p>
          <w:p w:rsidR="006F20EA" w:rsidRPr="00B241FF" w:rsidRDefault="006F20EA" w:rsidP="006F20EA">
            <w:pPr>
              <w:rPr>
                <w:rFonts w:ascii="Arial" w:hAnsi="Arial" w:cs="Arial"/>
                <w:sz w:val="24"/>
                <w:szCs w:val="24"/>
              </w:rPr>
            </w:pPr>
          </w:p>
          <w:p w:rsidR="006F20EA" w:rsidRPr="00B241FF" w:rsidRDefault="006F20EA" w:rsidP="006F20EA">
            <w:pPr>
              <w:rPr>
                <w:rFonts w:ascii="Arial" w:hAnsi="Arial" w:cs="Arial"/>
                <w:sz w:val="24"/>
                <w:szCs w:val="24"/>
              </w:rPr>
            </w:pPr>
            <w:r w:rsidRPr="00B241FF">
              <w:rPr>
                <w:rFonts w:ascii="Arial" w:hAnsi="Arial" w:cs="Arial"/>
                <w:sz w:val="24"/>
                <w:szCs w:val="24"/>
              </w:rPr>
              <w:t xml:space="preserve">Bedingt durch den Klimawandel ist von verstärkten Hochwasserereignissen auszugehen. </w:t>
            </w:r>
          </w:p>
          <w:p w:rsidR="006F20EA" w:rsidRPr="00B241FF" w:rsidRDefault="006F20EA" w:rsidP="006F20EA">
            <w:pPr>
              <w:rPr>
                <w:rFonts w:ascii="Arial" w:hAnsi="Arial" w:cs="Arial"/>
                <w:sz w:val="24"/>
                <w:szCs w:val="24"/>
              </w:rPr>
            </w:pPr>
            <w:r w:rsidRPr="00B241FF">
              <w:rPr>
                <w:rFonts w:ascii="Arial" w:hAnsi="Arial" w:cs="Arial"/>
                <w:sz w:val="24"/>
                <w:szCs w:val="24"/>
              </w:rPr>
              <w:t xml:space="preserve">Das Vorkaufsrecht korrespondiert mit den bauleitplanungsrechtlichen Regelungen im BauGB und soll diese dann unterstützen. Gerade in dicht besiedelten urbanen Regionen ist es sinnvoll, eine gesetzliche Grundlage </w:t>
            </w:r>
            <w:r w:rsidRPr="00B241FF">
              <w:rPr>
                <w:rFonts w:ascii="Arial" w:hAnsi="Arial" w:cs="Arial"/>
                <w:sz w:val="24"/>
                <w:szCs w:val="24"/>
              </w:rPr>
              <w:lastRenderedPageBreak/>
              <w:t>für ein Vorkaufsrecht für Maßnahmen des Hochwasserschutzes zu haben. Ein solches bestehendes gesetzliches Vorkaufsrecht sollte seitens des Landes nicht ohne Not aus der Hand gegeben werden. Das Land sollte von seiner Abweichungsmöglichkeit nach § 99a Abs. 6 WHG keinen Gebrauch machen.</w:t>
            </w:r>
          </w:p>
          <w:p w:rsidR="002874C7" w:rsidRPr="00B241FF" w:rsidRDefault="002874C7">
            <w:pPr>
              <w:rPr>
                <w:rFonts w:ascii="Arial" w:hAnsi="Arial" w:cs="Arial"/>
                <w:sz w:val="24"/>
                <w:szCs w:val="24"/>
              </w:rPr>
            </w:pPr>
          </w:p>
        </w:tc>
      </w:tr>
      <w:tr w:rsidR="0053659D" w:rsidTr="006F20EA">
        <w:tc>
          <w:tcPr>
            <w:tcW w:w="988" w:type="dxa"/>
          </w:tcPr>
          <w:p w:rsidR="0053659D" w:rsidRDefault="00AC6833">
            <w:pPr>
              <w:rPr>
                <w:rFonts w:ascii="Arial" w:hAnsi="Arial" w:cs="Arial"/>
                <w:sz w:val="24"/>
                <w:szCs w:val="24"/>
              </w:rPr>
            </w:pPr>
            <w:r>
              <w:rPr>
                <w:rFonts w:ascii="Arial" w:hAnsi="Arial" w:cs="Arial"/>
                <w:sz w:val="24"/>
                <w:szCs w:val="24"/>
              </w:rPr>
              <w:lastRenderedPageBreak/>
              <w:t>§ 74</w:t>
            </w:r>
          </w:p>
        </w:tc>
        <w:tc>
          <w:tcPr>
            <w:tcW w:w="8074" w:type="dxa"/>
          </w:tcPr>
          <w:p w:rsidR="00321B93" w:rsidRPr="00B241FF" w:rsidRDefault="00321B93" w:rsidP="00321B93">
            <w:pPr>
              <w:rPr>
                <w:rFonts w:ascii="Arial" w:hAnsi="Arial" w:cs="Arial"/>
                <w:sz w:val="24"/>
                <w:szCs w:val="24"/>
              </w:rPr>
            </w:pPr>
            <w:r w:rsidRPr="00B241FF">
              <w:rPr>
                <w:rFonts w:ascii="Arial" w:hAnsi="Arial" w:cs="Arial"/>
                <w:sz w:val="24"/>
                <w:szCs w:val="24"/>
              </w:rPr>
              <w:t xml:space="preserve">Die Einführung einer größeren Flexibilität zur </w:t>
            </w:r>
            <w:proofErr w:type="spellStart"/>
            <w:r w:rsidRPr="00B241FF">
              <w:rPr>
                <w:rFonts w:ascii="Arial" w:hAnsi="Arial" w:cs="Arial"/>
                <w:sz w:val="24"/>
                <w:szCs w:val="24"/>
              </w:rPr>
              <w:t>Zuschneidung</w:t>
            </w:r>
            <w:proofErr w:type="spellEnd"/>
            <w:r w:rsidRPr="00B241FF">
              <w:rPr>
                <w:rFonts w:ascii="Arial" w:hAnsi="Arial" w:cs="Arial"/>
                <w:sz w:val="24"/>
                <w:szCs w:val="24"/>
              </w:rPr>
              <w:t xml:space="preserve"> der wasserwirtschaftlichen Einheiten, für die die Maßnahmenübersichten erstellt werden, macht Sinn. Damit wird die Forderung nach einer Deregulierung umgesetzt.</w:t>
            </w:r>
          </w:p>
          <w:p w:rsidR="00321B93" w:rsidRPr="00B241FF" w:rsidRDefault="00321B93" w:rsidP="00321B93">
            <w:pPr>
              <w:rPr>
                <w:rFonts w:ascii="Arial" w:hAnsi="Arial" w:cs="Arial"/>
                <w:sz w:val="24"/>
                <w:szCs w:val="24"/>
              </w:rPr>
            </w:pPr>
            <w:r w:rsidRPr="00B241FF">
              <w:rPr>
                <w:rFonts w:ascii="Arial" w:hAnsi="Arial" w:cs="Arial"/>
                <w:sz w:val="24"/>
                <w:szCs w:val="24"/>
              </w:rPr>
              <w:t>Auch die Verlängerung der Fristen ist sinnvoll.</w:t>
            </w:r>
          </w:p>
          <w:p w:rsidR="00321B93" w:rsidRPr="00B241FF" w:rsidRDefault="00321B93" w:rsidP="00321B93">
            <w:pPr>
              <w:rPr>
                <w:rFonts w:ascii="Arial" w:hAnsi="Arial" w:cs="Arial"/>
                <w:sz w:val="24"/>
                <w:szCs w:val="24"/>
              </w:rPr>
            </w:pPr>
            <w:r w:rsidRPr="00B241FF">
              <w:rPr>
                <w:rFonts w:ascii="Arial" w:hAnsi="Arial" w:cs="Arial"/>
                <w:sz w:val="24"/>
                <w:szCs w:val="24"/>
              </w:rPr>
              <w:t>Die grundsätzliche Thematik der Maßnahmenumsetzungspflicht der Gewässerunterhaltung ist nicht Gegenstand des Gesetzgebungsverfahrens. Wir sollten in der Runde prüfen, inwieweit die Thematik aufgegriffen werden sollte.</w:t>
            </w:r>
          </w:p>
          <w:p w:rsidR="00506788" w:rsidRPr="00B241FF" w:rsidRDefault="00506788">
            <w:pPr>
              <w:rPr>
                <w:rFonts w:ascii="Arial" w:hAnsi="Arial" w:cs="Arial"/>
                <w:sz w:val="24"/>
                <w:szCs w:val="24"/>
              </w:rPr>
            </w:pPr>
          </w:p>
        </w:tc>
      </w:tr>
      <w:tr w:rsidR="00361045" w:rsidTr="006F20EA">
        <w:tc>
          <w:tcPr>
            <w:tcW w:w="988" w:type="dxa"/>
          </w:tcPr>
          <w:p w:rsidR="00361045" w:rsidRDefault="00361045">
            <w:pPr>
              <w:rPr>
                <w:rFonts w:ascii="Arial" w:hAnsi="Arial" w:cs="Arial"/>
                <w:sz w:val="24"/>
                <w:szCs w:val="24"/>
              </w:rPr>
            </w:pPr>
            <w:r>
              <w:rPr>
                <w:rFonts w:ascii="Arial" w:hAnsi="Arial" w:cs="Arial"/>
                <w:sz w:val="24"/>
                <w:szCs w:val="24"/>
              </w:rPr>
              <w:t>§ 83</w:t>
            </w:r>
          </w:p>
        </w:tc>
        <w:tc>
          <w:tcPr>
            <w:tcW w:w="8074" w:type="dxa"/>
          </w:tcPr>
          <w:p w:rsidR="00321B93" w:rsidRPr="00321B93" w:rsidRDefault="00321B93" w:rsidP="00321B93">
            <w:pPr>
              <w:rPr>
                <w:rFonts w:ascii="Arial" w:hAnsi="Arial" w:cs="Arial"/>
                <w:sz w:val="24"/>
                <w:szCs w:val="24"/>
              </w:rPr>
            </w:pPr>
            <w:r w:rsidRPr="00321B93">
              <w:rPr>
                <w:rFonts w:ascii="Arial" w:hAnsi="Arial" w:cs="Arial"/>
                <w:sz w:val="24"/>
                <w:szCs w:val="24"/>
              </w:rPr>
              <w:t xml:space="preserve">Die Streichung der Klarstellung in § 83 Abs. </w:t>
            </w:r>
            <w:r w:rsidR="00B241FF">
              <w:rPr>
                <w:rFonts w:ascii="Arial" w:hAnsi="Arial" w:cs="Arial"/>
                <w:sz w:val="24"/>
                <w:szCs w:val="24"/>
              </w:rPr>
              <w:t>1</w:t>
            </w:r>
            <w:r w:rsidRPr="00321B93">
              <w:rPr>
                <w:rFonts w:ascii="Arial" w:hAnsi="Arial" w:cs="Arial"/>
                <w:sz w:val="24"/>
                <w:szCs w:val="24"/>
              </w:rPr>
              <w:t xml:space="preserve"> LWG ist ein Rückschritt, Die rechtliche Möglichkeit zur Rückgewinnung von potentiellen Retentionsflächen wird geschwächt. Flankierend zu den Maßnahmen der Bauleitplanung sollten die bisherige Regelung beibehalten werden. </w:t>
            </w:r>
          </w:p>
          <w:p w:rsidR="00361045" w:rsidRDefault="00361045" w:rsidP="007751F0">
            <w:pPr>
              <w:rPr>
                <w:rFonts w:ascii="Arial" w:hAnsi="Arial" w:cs="Arial"/>
                <w:sz w:val="24"/>
                <w:szCs w:val="24"/>
              </w:rPr>
            </w:pPr>
          </w:p>
        </w:tc>
      </w:tr>
      <w:tr w:rsidR="0053659D" w:rsidTr="006F20EA">
        <w:tc>
          <w:tcPr>
            <w:tcW w:w="988" w:type="dxa"/>
          </w:tcPr>
          <w:p w:rsidR="0053659D" w:rsidRDefault="00AC6833">
            <w:pPr>
              <w:rPr>
                <w:rFonts w:ascii="Arial" w:hAnsi="Arial" w:cs="Arial"/>
                <w:sz w:val="24"/>
                <w:szCs w:val="24"/>
              </w:rPr>
            </w:pPr>
            <w:r>
              <w:rPr>
                <w:rFonts w:ascii="Arial" w:hAnsi="Arial" w:cs="Arial"/>
                <w:sz w:val="24"/>
                <w:szCs w:val="24"/>
              </w:rPr>
              <w:t>§ 84</w:t>
            </w:r>
          </w:p>
        </w:tc>
        <w:tc>
          <w:tcPr>
            <w:tcW w:w="8074" w:type="dxa"/>
          </w:tcPr>
          <w:p w:rsidR="00D560C5" w:rsidRPr="00D560C5" w:rsidRDefault="00D560C5" w:rsidP="00D560C5">
            <w:pPr>
              <w:rPr>
                <w:rFonts w:ascii="Arial" w:hAnsi="Arial" w:cs="Arial"/>
                <w:sz w:val="24"/>
                <w:szCs w:val="24"/>
              </w:rPr>
            </w:pPr>
            <w:r>
              <w:rPr>
                <w:rFonts w:ascii="Arial" w:hAnsi="Arial" w:cs="Arial"/>
                <w:sz w:val="24"/>
                <w:szCs w:val="24"/>
              </w:rPr>
              <w:t xml:space="preserve">Die </w:t>
            </w:r>
            <w:r w:rsidRPr="00D560C5">
              <w:rPr>
                <w:rFonts w:ascii="Arial" w:hAnsi="Arial" w:cs="Arial"/>
                <w:sz w:val="24"/>
                <w:szCs w:val="24"/>
              </w:rPr>
              <w:t xml:space="preserve">Verlängerung der Fristen für die Nachrüstung von Anlagen in Überschwemmungsgebieten </w:t>
            </w:r>
            <w:r>
              <w:rPr>
                <w:rFonts w:ascii="Arial" w:hAnsi="Arial" w:cs="Arial"/>
                <w:sz w:val="24"/>
                <w:szCs w:val="24"/>
              </w:rPr>
              <w:t xml:space="preserve">ist </w:t>
            </w:r>
            <w:r w:rsidRPr="00D560C5">
              <w:rPr>
                <w:rFonts w:ascii="Arial" w:hAnsi="Arial" w:cs="Arial"/>
                <w:sz w:val="24"/>
                <w:szCs w:val="24"/>
              </w:rPr>
              <w:t>positiv.</w:t>
            </w:r>
          </w:p>
          <w:p w:rsidR="00D560C5" w:rsidRPr="00D560C5" w:rsidRDefault="00D560C5" w:rsidP="00D560C5">
            <w:pPr>
              <w:rPr>
                <w:rFonts w:ascii="Arial" w:hAnsi="Arial" w:cs="Arial"/>
                <w:sz w:val="24"/>
                <w:szCs w:val="24"/>
              </w:rPr>
            </w:pPr>
            <w:r w:rsidRPr="00D560C5">
              <w:rPr>
                <w:rFonts w:ascii="Arial" w:hAnsi="Arial" w:cs="Arial"/>
                <w:sz w:val="24"/>
                <w:szCs w:val="24"/>
              </w:rPr>
              <w:t>Aber: Hinweis auf abweichende Darstellung der Fristen in Änderungsgesetz (2025) / Begründung (2027) / Lesefassung (2025)</w:t>
            </w:r>
          </w:p>
          <w:p w:rsidR="00506788" w:rsidRDefault="00506788" w:rsidP="007751F0">
            <w:pPr>
              <w:rPr>
                <w:rFonts w:ascii="Arial" w:hAnsi="Arial" w:cs="Arial"/>
                <w:sz w:val="24"/>
                <w:szCs w:val="24"/>
              </w:rPr>
            </w:pPr>
          </w:p>
        </w:tc>
      </w:tr>
      <w:tr w:rsidR="002874C7" w:rsidRPr="005D2A76" w:rsidTr="006F20EA">
        <w:tc>
          <w:tcPr>
            <w:tcW w:w="988" w:type="dxa"/>
          </w:tcPr>
          <w:p w:rsidR="002874C7" w:rsidRPr="00321B93" w:rsidRDefault="00321B93">
            <w:pPr>
              <w:rPr>
                <w:rFonts w:ascii="Arial" w:hAnsi="Arial" w:cs="Arial"/>
                <w:sz w:val="24"/>
                <w:szCs w:val="24"/>
              </w:rPr>
            </w:pPr>
            <w:r w:rsidRPr="00321B93">
              <w:rPr>
                <w:rFonts w:ascii="Arial" w:hAnsi="Arial" w:cs="Arial"/>
                <w:sz w:val="24"/>
                <w:szCs w:val="24"/>
              </w:rPr>
              <w:t>§ 101</w:t>
            </w:r>
          </w:p>
        </w:tc>
        <w:tc>
          <w:tcPr>
            <w:tcW w:w="8074" w:type="dxa"/>
          </w:tcPr>
          <w:p w:rsidR="00321B93" w:rsidRPr="00321B93" w:rsidRDefault="00321B93" w:rsidP="00321B93">
            <w:pPr>
              <w:rPr>
                <w:rFonts w:ascii="Arial" w:hAnsi="Arial" w:cs="Arial"/>
                <w:sz w:val="24"/>
                <w:szCs w:val="24"/>
              </w:rPr>
            </w:pPr>
            <w:r w:rsidRPr="00321B93">
              <w:rPr>
                <w:rFonts w:ascii="Arial" w:hAnsi="Arial" w:cs="Arial"/>
                <w:sz w:val="24"/>
                <w:szCs w:val="24"/>
              </w:rPr>
              <w:t>Die Klarstellung ist für die sondergesetzlichen Wasserverbände positiv, sie schafft Rechtsklarheit.</w:t>
            </w:r>
          </w:p>
          <w:p w:rsidR="005D2A76" w:rsidRPr="00321B93" w:rsidRDefault="005D2A76" w:rsidP="007751F0">
            <w:pPr>
              <w:rPr>
                <w:rFonts w:ascii="Arial" w:hAnsi="Arial" w:cs="Arial"/>
                <w:sz w:val="24"/>
                <w:szCs w:val="24"/>
              </w:rPr>
            </w:pPr>
          </w:p>
        </w:tc>
      </w:tr>
      <w:tr w:rsidR="0053659D" w:rsidTr="006F20EA">
        <w:tc>
          <w:tcPr>
            <w:tcW w:w="988" w:type="dxa"/>
          </w:tcPr>
          <w:p w:rsidR="0053659D" w:rsidRDefault="007751F0">
            <w:pPr>
              <w:rPr>
                <w:rFonts w:ascii="Arial" w:hAnsi="Arial" w:cs="Arial"/>
                <w:sz w:val="24"/>
                <w:szCs w:val="24"/>
              </w:rPr>
            </w:pPr>
            <w:r>
              <w:rPr>
                <w:rFonts w:ascii="Arial" w:hAnsi="Arial" w:cs="Arial"/>
                <w:sz w:val="24"/>
                <w:szCs w:val="24"/>
              </w:rPr>
              <w:t>§ 109</w:t>
            </w:r>
          </w:p>
        </w:tc>
        <w:tc>
          <w:tcPr>
            <w:tcW w:w="8074" w:type="dxa"/>
          </w:tcPr>
          <w:p w:rsidR="0065321D" w:rsidRPr="0065321D" w:rsidRDefault="0065321D" w:rsidP="0065321D">
            <w:pPr>
              <w:rPr>
                <w:rFonts w:ascii="Arial" w:hAnsi="Arial" w:cs="Arial"/>
                <w:sz w:val="24"/>
                <w:szCs w:val="24"/>
              </w:rPr>
            </w:pPr>
            <w:r w:rsidRPr="0065321D">
              <w:rPr>
                <w:rFonts w:ascii="Arial" w:hAnsi="Arial" w:cs="Arial"/>
                <w:sz w:val="24"/>
                <w:szCs w:val="24"/>
              </w:rPr>
              <w:t xml:space="preserve">Es wird klargestellt, dass die Behörde Sachverständige nur heranziehen darf, soweit dies notwendig ist. (Das sollte eigentlich selbstverständlich sein). Nach meiner Erinnerung </w:t>
            </w:r>
            <w:r>
              <w:rPr>
                <w:rFonts w:ascii="Arial" w:hAnsi="Arial" w:cs="Arial"/>
                <w:sz w:val="24"/>
                <w:szCs w:val="24"/>
              </w:rPr>
              <w:t>(</w:t>
            </w:r>
            <w:proofErr w:type="spellStart"/>
            <w:r>
              <w:rPr>
                <w:rFonts w:ascii="Arial" w:hAnsi="Arial" w:cs="Arial"/>
                <w:sz w:val="24"/>
                <w:szCs w:val="24"/>
              </w:rPr>
              <w:t>Fa</w:t>
            </w:r>
            <w:proofErr w:type="spellEnd"/>
            <w:r>
              <w:rPr>
                <w:rFonts w:ascii="Arial" w:hAnsi="Arial" w:cs="Arial"/>
                <w:sz w:val="24"/>
                <w:szCs w:val="24"/>
              </w:rPr>
              <w:t xml:space="preserve">) </w:t>
            </w:r>
            <w:r w:rsidRPr="0065321D">
              <w:rPr>
                <w:rFonts w:ascii="Arial" w:hAnsi="Arial" w:cs="Arial"/>
                <w:sz w:val="24"/>
                <w:szCs w:val="24"/>
              </w:rPr>
              <w:t xml:space="preserve">hatte mindestens ein Verband der </w:t>
            </w:r>
            <w:proofErr w:type="spellStart"/>
            <w:r w:rsidRPr="0065321D">
              <w:rPr>
                <w:rFonts w:ascii="Arial" w:hAnsi="Arial" w:cs="Arial"/>
                <w:sz w:val="24"/>
                <w:szCs w:val="24"/>
              </w:rPr>
              <w:t>agw</w:t>
            </w:r>
            <w:proofErr w:type="spellEnd"/>
            <w:r w:rsidRPr="0065321D">
              <w:rPr>
                <w:rFonts w:ascii="Arial" w:hAnsi="Arial" w:cs="Arial"/>
                <w:sz w:val="24"/>
                <w:szCs w:val="24"/>
              </w:rPr>
              <w:t xml:space="preserve"> in der Vergangenheit Probleme mit der behördlichen Forderung nach doppelten Gutachten im Bereich der Überprüfung von Standsicherheiten</w:t>
            </w:r>
            <w:r>
              <w:rPr>
                <w:rFonts w:ascii="Arial" w:hAnsi="Arial" w:cs="Arial"/>
                <w:sz w:val="24"/>
                <w:szCs w:val="24"/>
              </w:rPr>
              <w:t xml:space="preserve"> (RV? WVER?)</w:t>
            </w:r>
            <w:bookmarkStart w:id="0" w:name="_GoBack"/>
            <w:bookmarkEnd w:id="0"/>
            <w:r w:rsidRPr="0065321D">
              <w:rPr>
                <w:rFonts w:ascii="Arial" w:hAnsi="Arial" w:cs="Arial"/>
                <w:sz w:val="24"/>
                <w:szCs w:val="24"/>
              </w:rPr>
              <w:t>. Wenn dies noch der Fall sein sollte, müssten wir in der Stellungnahme darauf hinweisen und ggf. eine klarere Regelung fordern.</w:t>
            </w:r>
          </w:p>
          <w:p w:rsidR="00506788" w:rsidRDefault="00506788">
            <w:pPr>
              <w:rPr>
                <w:rFonts w:ascii="Arial" w:hAnsi="Arial" w:cs="Arial"/>
                <w:sz w:val="24"/>
                <w:szCs w:val="24"/>
              </w:rPr>
            </w:pPr>
          </w:p>
        </w:tc>
      </w:tr>
    </w:tbl>
    <w:p w:rsidR="0053659D" w:rsidRDefault="0053659D">
      <w:pPr>
        <w:rPr>
          <w:rFonts w:ascii="Arial" w:hAnsi="Arial" w:cs="Arial"/>
          <w:sz w:val="24"/>
          <w:szCs w:val="24"/>
        </w:rPr>
      </w:pPr>
    </w:p>
    <w:p w:rsidR="005D2A76" w:rsidRPr="00321B93" w:rsidRDefault="005971D4">
      <w:pPr>
        <w:rPr>
          <w:rFonts w:ascii="Arial" w:hAnsi="Arial" w:cs="Arial"/>
          <w:sz w:val="24"/>
          <w:szCs w:val="24"/>
        </w:rPr>
      </w:pPr>
      <w:proofErr w:type="spellStart"/>
      <w:r w:rsidRPr="00321B93">
        <w:rPr>
          <w:rFonts w:ascii="Arial" w:hAnsi="Arial" w:cs="Arial"/>
          <w:sz w:val="24"/>
          <w:szCs w:val="24"/>
        </w:rPr>
        <w:t>Fa</w:t>
      </w:r>
      <w:proofErr w:type="spellEnd"/>
      <w:r w:rsidR="00321B93" w:rsidRPr="00321B93">
        <w:rPr>
          <w:rFonts w:ascii="Arial" w:hAnsi="Arial" w:cs="Arial"/>
          <w:sz w:val="24"/>
          <w:szCs w:val="24"/>
        </w:rPr>
        <w:t xml:space="preserve"> und </w:t>
      </w:r>
      <w:proofErr w:type="spellStart"/>
      <w:r w:rsidR="00321B93" w:rsidRPr="00321B93">
        <w:rPr>
          <w:rFonts w:ascii="Arial" w:hAnsi="Arial" w:cs="Arial"/>
          <w:sz w:val="24"/>
          <w:szCs w:val="24"/>
        </w:rPr>
        <w:t>Kue</w:t>
      </w:r>
      <w:proofErr w:type="spellEnd"/>
      <w:r w:rsidRPr="00321B93">
        <w:rPr>
          <w:rFonts w:ascii="Arial" w:hAnsi="Arial" w:cs="Arial"/>
          <w:sz w:val="24"/>
          <w:szCs w:val="24"/>
        </w:rPr>
        <w:t xml:space="preserve">, </w:t>
      </w:r>
      <w:r w:rsidR="00321B93" w:rsidRPr="00321B93">
        <w:rPr>
          <w:rFonts w:ascii="Arial" w:hAnsi="Arial" w:cs="Arial"/>
          <w:sz w:val="24"/>
          <w:szCs w:val="24"/>
        </w:rPr>
        <w:t>22.05.2020</w:t>
      </w:r>
    </w:p>
    <w:sectPr w:rsidR="005D2A76" w:rsidRPr="00321B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9D"/>
    <w:rsid w:val="00021FFA"/>
    <w:rsid w:val="0003497D"/>
    <w:rsid w:val="00050105"/>
    <w:rsid w:val="000526C5"/>
    <w:rsid w:val="00084333"/>
    <w:rsid w:val="00123AD8"/>
    <w:rsid w:val="001F0A31"/>
    <w:rsid w:val="002874C7"/>
    <w:rsid w:val="002B3101"/>
    <w:rsid w:val="0030358D"/>
    <w:rsid w:val="00317566"/>
    <w:rsid w:val="00321B93"/>
    <w:rsid w:val="00361045"/>
    <w:rsid w:val="003F661A"/>
    <w:rsid w:val="00435ACC"/>
    <w:rsid w:val="004812EF"/>
    <w:rsid w:val="00506788"/>
    <w:rsid w:val="0053659D"/>
    <w:rsid w:val="00554C0C"/>
    <w:rsid w:val="00584AD6"/>
    <w:rsid w:val="005971D4"/>
    <w:rsid w:val="005C1E08"/>
    <w:rsid w:val="005D2A76"/>
    <w:rsid w:val="00647AA8"/>
    <w:rsid w:val="0065321D"/>
    <w:rsid w:val="00666E08"/>
    <w:rsid w:val="006E480F"/>
    <w:rsid w:val="006F20EA"/>
    <w:rsid w:val="006F3018"/>
    <w:rsid w:val="007751F0"/>
    <w:rsid w:val="00776C02"/>
    <w:rsid w:val="00792319"/>
    <w:rsid w:val="00942892"/>
    <w:rsid w:val="00983491"/>
    <w:rsid w:val="009E7509"/>
    <w:rsid w:val="00A06F92"/>
    <w:rsid w:val="00A07548"/>
    <w:rsid w:val="00A93E3E"/>
    <w:rsid w:val="00AC6833"/>
    <w:rsid w:val="00B05388"/>
    <w:rsid w:val="00B241FF"/>
    <w:rsid w:val="00B45337"/>
    <w:rsid w:val="00BD56C0"/>
    <w:rsid w:val="00CC0553"/>
    <w:rsid w:val="00D36E02"/>
    <w:rsid w:val="00D506A5"/>
    <w:rsid w:val="00D560C5"/>
    <w:rsid w:val="00D76B0A"/>
    <w:rsid w:val="00DE3FF4"/>
    <w:rsid w:val="00E8516A"/>
    <w:rsid w:val="00F93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B2571-E728-459D-A7CF-DACCDDAF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3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71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71D4"/>
    <w:rPr>
      <w:rFonts w:ascii="Segoe UI" w:hAnsi="Segoe UI" w:cs="Segoe UI"/>
      <w:sz w:val="18"/>
      <w:szCs w:val="18"/>
    </w:rPr>
  </w:style>
  <w:style w:type="character" w:styleId="Hyperlink">
    <w:name w:val="Hyperlink"/>
    <w:basedOn w:val="Absatz-Standardschriftart"/>
    <w:uiPriority w:val="99"/>
    <w:unhideWhenUsed/>
    <w:rsid w:val="006F20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nuv.nrw.de/landesamt/daten_und_informationsdienste/infosysteme_und_datenbanken/vo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Der Aggerverband</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Thorsten</dc:creator>
  <cp:keywords/>
  <dc:description/>
  <cp:lastModifiedBy>Falk, Thorsten</cp:lastModifiedBy>
  <cp:revision>27</cp:revision>
  <cp:lastPrinted>2020-05-14T11:53:00Z</cp:lastPrinted>
  <dcterms:created xsi:type="dcterms:W3CDTF">2020-05-22T07:33:00Z</dcterms:created>
  <dcterms:modified xsi:type="dcterms:W3CDTF">2020-05-22T10:04:00Z</dcterms:modified>
</cp:coreProperties>
</file>