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E2" w:rsidRDefault="002107E2" w:rsidP="002107E2">
      <w:r w:rsidRPr="006B7DBE">
        <w:rPr>
          <w:u w:val="single"/>
        </w:rPr>
        <w:t>Anforderungen zur Hochwasser- und Starkregensicherheit</w:t>
      </w:r>
      <w:r>
        <w:t xml:space="preserve">: </w:t>
      </w:r>
      <w:r w:rsidRPr="00954BBA">
        <w:rPr>
          <w:i/>
        </w:rPr>
        <w:t>(Ziffer 2.1 – 2.</w:t>
      </w:r>
      <w:r w:rsidR="0058116B">
        <w:rPr>
          <w:i/>
        </w:rPr>
        <w:t>4</w:t>
      </w:r>
      <w:r w:rsidRPr="00954BBA">
        <w:rPr>
          <w:i/>
        </w:rPr>
        <w:t>)</w:t>
      </w:r>
    </w:p>
    <w:p w:rsidR="002107E2" w:rsidRDefault="002107E2" w:rsidP="002107E2">
      <w:pPr>
        <w:pStyle w:val="Listenabsatz"/>
        <w:numPr>
          <w:ilvl w:val="0"/>
          <w:numId w:val="1"/>
        </w:numPr>
      </w:pPr>
      <w:r>
        <w:t>Nach Ziffer 2.1 sind „</w:t>
      </w:r>
      <w:r w:rsidRPr="006B7DBE">
        <w:rPr>
          <w:i/>
        </w:rPr>
        <w:t>für</w:t>
      </w:r>
      <w:r>
        <w:t xml:space="preserve"> [über die in Anhang 2 definierten Schutzziele] </w:t>
      </w:r>
      <w:r w:rsidRPr="006B7DBE">
        <w:rPr>
          <w:i/>
        </w:rPr>
        <w:t xml:space="preserve">hinaus gehende Hochwasserereignisse (&gt; HQ 100) weitere Maßnahmen vorzusehen; </w:t>
      </w:r>
      <w:r>
        <w:t xml:space="preserve">[…], </w:t>
      </w:r>
      <w:r w:rsidRPr="006B7DBE">
        <w:rPr>
          <w:i/>
        </w:rPr>
        <w:t>die eine kurzfristige Wiederinbetriebnahme nach dem Ereignis sicherstellen“</w:t>
      </w:r>
    </w:p>
    <w:p w:rsidR="002107E2" w:rsidRPr="002E6E14" w:rsidRDefault="002107E2" w:rsidP="002107E2">
      <w:pPr>
        <w:pStyle w:val="Listenabsatz"/>
        <w:numPr>
          <w:ilvl w:val="0"/>
          <w:numId w:val="1"/>
        </w:numPr>
      </w:pPr>
      <w:r w:rsidRPr="002E6E14">
        <w:t>Wir halten eine Abschwächung der Formulierung „</w:t>
      </w:r>
      <w:r w:rsidRPr="002E6E14">
        <w:rPr>
          <w:i/>
        </w:rPr>
        <w:t>kurzfristige Wiederinbetriebnahme nach dem Ereignis sicherstellen</w:t>
      </w:r>
      <w:r w:rsidRPr="002E6E14">
        <w:t>“ für erforderlich (z.B. „...sofern betrieblich möglich...“), da eine kurzfristige Wiederinbetriebnahme nach einem beliebig seltenen (extremen) Ereignis nicht sichergestellt werden kann.</w:t>
      </w:r>
    </w:p>
    <w:p w:rsidR="002107E2" w:rsidRDefault="002107E2" w:rsidP="002107E2">
      <w:pPr>
        <w:pStyle w:val="Listenabsatz"/>
        <w:numPr>
          <w:ilvl w:val="0"/>
          <w:numId w:val="1"/>
        </w:numPr>
      </w:pPr>
      <w:r>
        <w:t xml:space="preserve">Die Formulierung ist analog unter den Ziffern 2.2 und 2.3 vorhanden und sollte hier ebenfalls angepasst werden. </w:t>
      </w:r>
    </w:p>
    <w:p w:rsidR="00B04B70" w:rsidRDefault="00B04B70" w:rsidP="002107E2">
      <w:pPr>
        <w:pStyle w:val="Listenabsatz"/>
        <w:numPr>
          <w:ilvl w:val="0"/>
          <w:numId w:val="1"/>
        </w:numPr>
      </w:pPr>
      <w:r>
        <w:t>Insgesamt gab es zu den Ausführungen in Ziffer 2.2. viele Rückmeldungen, dass die Ausführungen noch etwas ungenau sind und zudem unklar ist, welche Rechtsgrundlage das Schutzziel HQ extrem, bzw. starkes Starkregenereignis definiert.</w:t>
      </w:r>
    </w:p>
    <w:p w:rsidR="00052A2E" w:rsidRDefault="00052A2E" w:rsidP="002107E2">
      <w:pPr>
        <w:pStyle w:val="Listenabsatz"/>
        <w:numPr>
          <w:ilvl w:val="0"/>
          <w:numId w:val="1"/>
        </w:numPr>
      </w:pPr>
      <w:r>
        <w:t xml:space="preserve">Auch gab es Rückmeldungen, dass ein Ereignis </w:t>
      </w:r>
      <w:proofErr w:type="spellStart"/>
      <w:r>
        <w:t>HQhäufig</w:t>
      </w:r>
      <w:proofErr w:type="spellEnd"/>
      <w:r>
        <w:t xml:space="preserve"> gemäß A-128 im Mittel alle 10 Jahre auftritt verwendet werden. </w:t>
      </w:r>
    </w:p>
    <w:p w:rsidR="00052A2E" w:rsidRDefault="00B04B70" w:rsidP="002107E2">
      <w:pPr>
        <w:pStyle w:val="Listenabsatz"/>
        <w:numPr>
          <w:ilvl w:val="0"/>
          <w:numId w:val="1"/>
        </w:numPr>
      </w:pPr>
      <w:r>
        <w:t xml:space="preserve">Die Vorgaben unter Ziffer 2.2. sind vor allem für RÜBs schwierig: Bei einem HQ100 wird es in kleinen EZG wahrscheinlich auch eine Überflutung aus Starkregen geben. Warum sollte in diesem Fall das Bauwerk uneingeschränkt funktionieren, wenn beispielsweise </w:t>
      </w:r>
      <w:r w:rsidR="00052A2E">
        <w:t>bereits Abwasser über den Kanal austritt?</w:t>
      </w:r>
    </w:p>
    <w:p w:rsidR="00052A2E" w:rsidRDefault="00052A2E" w:rsidP="002107E2">
      <w:pPr>
        <w:pStyle w:val="Listenabsatz"/>
        <w:numPr>
          <w:ilvl w:val="0"/>
          <w:numId w:val="1"/>
        </w:numPr>
      </w:pPr>
      <w:r>
        <w:t xml:space="preserve">Redaktionell: Der letzte Absatz unter Ziffer 2.2. </w:t>
      </w:r>
      <w:r w:rsidRPr="00052A2E">
        <w:rPr>
          <w:i/>
        </w:rPr>
        <w:t>„Dies kann durch bauliche und betr</w:t>
      </w:r>
      <w:r>
        <w:rPr>
          <w:i/>
        </w:rPr>
        <w:t>ie</w:t>
      </w:r>
      <w:r w:rsidRPr="00052A2E">
        <w:rPr>
          <w:i/>
        </w:rPr>
        <w:t>bliche Maßnahmen erreicht werden“</w:t>
      </w:r>
      <w:r>
        <w:rPr>
          <w:i/>
        </w:rPr>
        <w:t xml:space="preserve"> </w:t>
      </w:r>
      <w:r>
        <w:t xml:space="preserve">wird als nicht glücklich angesehen. Es sollte daher besser </w:t>
      </w:r>
      <w:proofErr w:type="spellStart"/>
      <w:r>
        <w:t>besser</w:t>
      </w:r>
      <w:proofErr w:type="spellEnd"/>
      <w:r>
        <w:t xml:space="preserve"> </w:t>
      </w:r>
      <w:r w:rsidRPr="00052A2E">
        <w:rPr>
          <w:i/>
        </w:rPr>
        <w:t>„und/oder“</w:t>
      </w:r>
      <w:r>
        <w:t xml:space="preserve"> oder mit einer alternativen Formulierung </w:t>
      </w:r>
      <w:r w:rsidRPr="00052A2E">
        <w:rPr>
          <w:i/>
        </w:rPr>
        <w:t>„dies ist mindestens durch betriebliche Maßnahmen sicherzustellen“</w:t>
      </w:r>
      <w:r>
        <w:t xml:space="preserve">. Gleiches gilt </w:t>
      </w:r>
      <w:r w:rsidR="0058116B">
        <w:t xml:space="preserve">für Ziffer 2.3 (Mitte) sowie </w:t>
      </w:r>
      <w:r>
        <w:t>für den ersten Satz in Ziffer</w:t>
      </w:r>
      <w:r w:rsidR="0058116B">
        <w:t xml:space="preserve"> 3</w:t>
      </w:r>
      <w:r>
        <w:t>b).</w:t>
      </w:r>
    </w:p>
    <w:p w:rsidR="0058116B" w:rsidRDefault="0058116B" w:rsidP="0058116B">
      <w:pPr>
        <w:pStyle w:val="Listenabsatz"/>
        <w:numPr>
          <w:ilvl w:val="0"/>
          <w:numId w:val="1"/>
        </w:numPr>
      </w:pPr>
      <w:r>
        <w:t>Zu Ziffer 2.3 wird auf folgenden Umstand verwiesen: Die Starkregengefahrenkarten sind von den Kommunen zu erstellen. Wenn diese zum Zeitpunkt der Fertigstellung der Schutzkonzepte nicht vorliegen, sollte im Rahmen der Verhältnismäßigkeit überlegt werden, ob ein „Bestandsschutz“ gegenüber den erstellten Konzepten gelten kann.</w:t>
      </w:r>
    </w:p>
    <w:p w:rsidR="00AA3E00" w:rsidRDefault="00AA3E00" w:rsidP="001C7E1A">
      <w:pPr>
        <w:pStyle w:val="Listenabsatz"/>
      </w:pPr>
    </w:p>
    <w:p w:rsidR="0058116B" w:rsidRDefault="0058116B" w:rsidP="0058116B">
      <w:pPr>
        <w:rPr>
          <w:i/>
        </w:rPr>
      </w:pPr>
      <w:r>
        <w:rPr>
          <w:u w:val="single"/>
        </w:rPr>
        <w:t>Schutzziele</w:t>
      </w:r>
      <w:bookmarkStart w:id="0" w:name="_GoBack"/>
      <w:bookmarkEnd w:id="0"/>
      <w:r>
        <w:t xml:space="preserve">: </w:t>
      </w:r>
      <w:r>
        <w:rPr>
          <w:i/>
        </w:rPr>
        <w:t>(Ziffer 3a</w:t>
      </w:r>
      <w:r w:rsidRPr="00954BBA">
        <w:rPr>
          <w:i/>
        </w:rPr>
        <w:t xml:space="preserve">, </w:t>
      </w:r>
      <w:r>
        <w:rPr>
          <w:i/>
        </w:rPr>
        <w:t>Anlagenbetrieb im Ereignisfall</w:t>
      </w:r>
      <w:r w:rsidRPr="00954BBA">
        <w:rPr>
          <w:i/>
        </w:rPr>
        <w:t>)</w:t>
      </w:r>
    </w:p>
    <w:p w:rsidR="0058116B" w:rsidRPr="009B019C" w:rsidRDefault="009B019C" w:rsidP="0041343D">
      <w:pPr>
        <w:pStyle w:val="Listenabsatz"/>
        <w:numPr>
          <w:ilvl w:val="0"/>
          <w:numId w:val="5"/>
        </w:numPr>
      </w:pPr>
      <w:r>
        <w:t>Redaktionelle Ergänzung im ersten Satz „Abwasseranlagen sind im Ereignisfall für die in diesem Erlass „</w:t>
      </w:r>
      <w:r w:rsidRPr="009B019C">
        <w:rPr>
          <w:i/>
        </w:rPr>
        <w:t>mit der Kennziffer O</w:t>
      </w:r>
      <w:r>
        <w:rPr>
          <w:i/>
        </w:rPr>
        <w:t>“</w:t>
      </w:r>
      <w:r w:rsidRPr="009B019C">
        <w:rPr>
          <w:i/>
        </w:rPr>
        <w:t xml:space="preserve"> gekennzeichneten</w:t>
      </w:r>
      <w:r>
        <w:t xml:space="preserve"> definierten Schutzziele (…).</w:t>
      </w:r>
    </w:p>
    <w:p w:rsidR="007765C2" w:rsidRDefault="0017367F" w:rsidP="0041343D">
      <w:r>
        <w:rPr>
          <w:u w:val="single"/>
        </w:rPr>
        <w:t>Schutzziele -</w:t>
      </w:r>
      <w:r w:rsidR="007765C2" w:rsidRPr="006B7DBE">
        <w:rPr>
          <w:u w:val="single"/>
        </w:rPr>
        <w:t xml:space="preserve"> betriebliche Maßnahmen</w:t>
      </w:r>
      <w:r w:rsidR="005A5FB2">
        <w:t xml:space="preserve">: </w:t>
      </w:r>
      <w:r w:rsidR="00070633">
        <w:rPr>
          <w:i/>
        </w:rPr>
        <w:t>(Ziffer 3</w:t>
      </w:r>
      <w:r w:rsidR="00A16FA9" w:rsidRPr="00954BBA">
        <w:rPr>
          <w:i/>
        </w:rPr>
        <w:t>b, 2.)</w:t>
      </w:r>
    </w:p>
    <w:p w:rsidR="007765C2" w:rsidRDefault="00070633" w:rsidP="007765C2">
      <w:pPr>
        <w:pStyle w:val="Listenabsatz"/>
        <w:numPr>
          <w:ilvl w:val="0"/>
          <w:numId w:val="1"/>
        </w:numPr>
      </w:pPr>
      <w:r>
        <w:t>Unter Ziffer 3</w:t>
      </w:r>
      <w:r w:rsidR="008F7BF1">
        <w:t xml:space="preserve">b, 2. </w:t>
      </w:r>
      <w:r>
        <w:t>w</w:t>
      </w:r>
      <w:r w:rsidR="008F7BF1">
        <w:t xml:space="preserve">ird </w:t>
      </w:r>
      <w:r w:rsidR="008F7BF1" w:rsidRPr="006B7DBE">
        <w:rPr>
          <w:i/>
        </w:rPr>
        <w:t>„</w:t>
      </w:r>
      <w:r w:rsidR="007765C2" w:rsidRPr="006B7DBE">
        <w:rPr>
          <w:i/>
        </w:rPr>
        <w:t>die Verlegung von Maschinen- und Elektrotechnik in höher gelegene Gebäudebereiche</w:t>
      </w:r>
      <w:r w:rsidR="008F7BF1" w:rsidRPr="006B7DBE">
        <w:rPr>
          <w:i/>
        </w:rPr>
        <w:t>“</w:t>
      </w:r>
      <w:r w:rsidR="008F7BF1">
        <w:t xml:space="preserve"> als betriebliche Maßnahme vorgeschlagen.</w:t>
      </w:r>
    </w:p>
    <w:p w:rsidR="008F7BF1" w:rsidRDefault="008F7BF1" w:rsidP="007765C2">
      <w:pPr>
        <w:pStyle w:val="Listenabsatz"/>
        <w:numPr>
          <w:ilvl w:val="0"/>
          <w:numId w:val="1"/>
        </w:numPr>
      </w:pPr>
      <w:r>
        <w:t xml:space="preserve">Die oben genannte Maßnahme </w:t>
      </w:r>
      <w:r w:rsidR="00630930">
        <w:t xml:space="preserve">zieht </w:t>
      </w:r>
      <w:r>
        <w:t xml:space="preserve">jedoch in den meisten Fällen eine umfassende </w:t>
      </w:r>
      <w:r w:rsidR="00630930">
        <w:t xml:space="preserve">Baumaßnahme mit sich </w:t>
      </w:r>
      <w:r>
        <w:t xml:space="preserve">und wird deshalb nicht als betriebliche Maßnahme angesehen. </w:t>
      </w:r>
    </w:p>
    <w:p w:rsidR="0084429A" w:rsidRDefault="00DB0BEA" w:rsidP="0084429A">
      <w:pPr>
        <w:rPr>
          <w:u w:val="single"/>
        </w:rPr>
      </w:pPr>
      <w:r w:rsidRPr="00366509">
        <w:rPr>
          <w:u w:val="single"/>
        </w:rPr>
        <w:t>Grobanalyse</w:t>
      </w:r>
      <w:r w:rsidR="005A5FB2">
        <w:rPr>
          <w:i/>
        </w:rPr>
        <w:t xml:space="preserve">: </w:t>
      </w:r>
      <w:r w:rsidR="0087353F" w:rsidRPr="0087353F">
        <w:rPr>
          <w:i/>
        </w:rPr>
        <w:t>(Ziffer 4.2)</w:t>
      </w:r>
    </w:p>
    <w:p w:rsidR="00366509" w:rsidRPr="00282A38" w:rsidRDefault="00366509" w:rsidP="00366509">
      <w:pPr>
        <w:pStyle w:val="Listenabsatz"/>
        <w:numPr>
          <w:ilvl w:val="0"/>
          <w:numId w:val="3"/>
        </w:numPr>
      </w:pPr>
      <w:r>
        <w:t>Gemä</w:t>
      </w:r>
      <w:r w:rsidRPr="00366509">
        <w:t>ß</w:t>
      </w:r>
      <w:r>
        <w:t xml:space="preserve"> Ziffer 4.2 ist </w:t>
      </w:r>
      <w:r w:rsidRPr="00366509">
        <w:rPr>
          <w:i/>
        </w:rPr>
        <w:t xml:space="preserve">„für jede Abwasseranlage, die in einem der in Anlage 1 ermittelten Gebiete liegt, </w:t>
      </w:r>
      <w:r w:rsidR="00070633">
        <w:rPr>
          <w:i/>
        </w:rPr>
        <w:t>[…]</w:t>
      </w:r>
      <w:r w:rsidRPr="00366509">
        <w:rPr>
          <w:i/>
        </w:rPr>
        <w:t xml:space="preserve"> eine Grobanalyse mindestens mit dem in Anlage 3 genannten Umfang durchzuführen“</w:t>
      </w:r>
    </w:p>
    <w:p w:rsidR="00282A38" w:rsidRDefault="00282A38" w:rsidP="00366509">
      <w:pPr>
        <w:pStyle w:val="Listenabsatz"/>
        <w:numPr>
          <w:ilvl w:val="0"/>
          <w:numId w:val="3"/>
        </w:numPr>
      </w:pPr>
      <w:r w:rsidRPr="00282A38">
        <w:t>Die Durchführung einer Grobanalyse nach Anhang 3</w:t>
      </w:r>
      <w:r>
        <w:t xml:space="preserve"> stellt für d</w:t>
      </w:r>
      <w:r w:rsidR="00052A2E">
        <w:t>ie</w:t>
      </w:r>
      <w:r>
        <w:t xml:space="preserve"> Verb</w:t>
      </w:r>
      <w:r w:rsidR="00052A2E">
        <w:t>ä</w:t>
      </w:r>
      <w:r>
        <w:t>nd</w:t>
      </w:r>
      <w:r w:rsidR="00052A2E">
        <w:t>e</w:t>
      </w:r>
      <w:r>
        <w:t xml:space="preserve"> einen </w:t>
      </w:r>
      <w:r w:rsidR="00AA3E00">
        <w:t>nicht un</w:t>
      </w:r>
      <w:r>
        <w:t>erheblichen Aufwand dar. Die Beantwortung der Fragen</w:t>
      </w:r>
      <w:r w:rsidR="00386775">
        <w:t xml:space="preserve"> vor allem im </w:t>
      </w:r>
      <w:r w:rsidR="00386775" w:rsidRPr="00BD1821">
        <w:rPr>
          <w:i/>
        </w:rPr>
        <w:t xml:space="preserve">Kapitel 2.1 bauliche Aspekte für das einzuhaltende </w:t>
      </w:r>
      <w:proofErr w:type="spellStart"/>
      <w:r w:rsidR="00386775" w:rsidRPr="00BD1821">
        <w:rPr>
          <w:i/>
        </w:rPr>
        <w:t>Stauziel</w:t>
      </w:r>
      <w:proofErr w:type="spellEnd"/>
      <w:r>
        <w:t xml:space="preserve"> erfordert insbesondere bei Anlagen aus altem Bestand </w:t>
      </w:r>
      <w:r>
        <w:lastRenderedPageBreak/>
        <w:t xml:space="preserve">eine </w:t>
      </w:r>
      <w:r w:rsidR="00386775">
        <w:t>aufwendige</w:t>
      </w:r>
      <w:r>
        <w:t xml:space="preserve"> Nachforschung in alten Unterlagen.</w:t>
      </w:r>
      <w:r w:rsidR="00386775">
        <w:t xml:space="preserve"> </w:t>
      </w:r>
      <w:r w:rsidR="005E3A21">
        <w:t xml:space="preserve">Auf die </w:t>
      </w:r>
      <w:r w:rsidR="00AA3E00" w:rsidRPr="00941228">
        <w:t xml:space="preserve">Durchführung der Grobanalyse sollte deshalb </w:t>
      </w:r>
      <w:r w:rsidR="005E3A21">
        <w:t>bei sehr seltenen Ereignissen mit geringer Schadenshöhe /Schadensumfang</w:t>
      </w:r>
      <w:r w:rsidR="00AA3E00" w:rsidRPr="00941228">
        <w:t xml:space="preserve"> </w:t>
      </w:r>
      <w:r w:rsidR="005E3A21">
        <w:t>verzichtet werden</w:t>
      </w:r>
      <w:r w:rsidR="00AA3E00" w:rsidRPr="00941228">
        <w:t>.</w:t>
      </w:r>
    </w:p>
    <w:p w:rsidR="00052A2E" w:rsidRDefault="00052A2E" w:rsidP="00366509">
      <w:pPr>
        <w:pStyle w:val="Listenabsatz"/>
        <w:numPr>
          <w:ilvl w:val="0"/>
          <w:numId w:val="3"/>
        </w:numPr>
      </w:pPr>
      <w:r>
        <w:t>Ein Verband hat mal grob hochgerechnet: Der Arbeitsaufwand liegt bei einem Verband mit ca. 900 Abwasserbetriebspunkten bei rund 3.600 Stunden.</w:t>
      </w:r>
      <w:r w:rsidR="00C31768">
        <w:t xml:space="preserve"> Vorschlag: Besteht die Möglichkeit eines Ablaufschemas, damit der Arbeitsaufwand eingeschätzt werden kann? </w:t>
      </w:r>
    </w:p>
    <w:p w:rsidR="00386775" w:rsidRDefault="006062CE" w:rsidP="00366509">
      <w:pPr>
        <w:pStyle w:val="Listenabsatz"/>
        <w:numPr>
          <w:ilvl w:val="0"/>
          <w:numId w:val="3"/>
        </w:numPr>
      </w:pPr>
      <w:r>
        <w:t>Aus dem Erlass geht nicht eindeutig hervor wann eine Anlage als betroffen einzuordnen ist. (Lediglich Gelände betroffen, Anl</w:t>
      </w:r>
      <w:r w:rsidR="00630930">
        <w:t>a</w:t>
      </w:r>
      <w:r>
        <w:t>genteile mit nur geringem Schadenspotenzial betroffen, An</w:t>
      </w:r>
      <w:r w:rsidR="000F24F6">
        <w:t>la</w:t>
      </w:r>
      <w:r>
        <w:t>genteile mit hohem Schadenspotenzial betroffen)</w:t>
      </w:r>
      <w:r w:rsidR="00C31768">
        <w:t>.</w:t>
      </w:r>
    </w:p>
    <w:p w:rsidR="0084429A" w:rsidRPr="00220EAF" w:rsidRDefault="0084429A" w:rsidP="0084429A">
      <w:pPr>
        <w:rPr>
          <w:u w:val="single"/>
        </w:rPr>
      </w:pPr>
      <w:r w:rsidRPr="00220EAF">
        <w:rPr>
          <w:u w:val="single"/>
        </w:rPr>
        <w:t>Fristen</w:t>
      </w:r>
      <w:r w:rsidR="009B7DDB">
        <w:rPr>
          <w:u w:val="single"/>
        </w:rPr>
        <w:t xml:space="preserve"> und Umsetzung</w:t>
      </w:r>
      <w:r w:rsidR="00DC3702">
        <w:rPr>
          <w:u w:val="single"/>
        </w:rPr>
        <w:t>:</w:t>
      </w:r>
      <w:r w:rsidRPr="009B7DDB">
        <w:t xml:space="preserve"> </w:t>
      </w:r>
      <w:r w:rsidR="009B7DDB" w:rsidRPr="00DC3702">
        <w:rPr>
          <w:i/>
        </w:rPr>
        <w:t>(Ziffer 7)</w:t>
      </w:r>
    </w:p>
    <w:p w:rsidR="00052A2E" w:rsidRDefault="00052A2E" w:rsidP="0084429A">
      <w:pPr>
        <w:pStyle w:val="Listenabsatz"/>
        <w:numPr>
          <w:ilvl w:val="0"/>
          <w:numId w:val="1"/>
        </w:numPr>
      </w:pPr>
      <w:r>
        <w:t>Es haben uns viele Rückmeldungen zu den Fristen erreicht. Diese werden durchweg als zu ambitioniert angesehen.</w:t>
      </w:r>
    </w:p>
    <w:p w:rsidR="0084429A" w:rsidRDefault="003251D8" w:rsidP="0084429A">
      <w:pPr>
        <w:pStyle w:val="Listenabsatz"/>
        <w:numPr>
          <w:ilvl w:val="0"/>
          <w:numId w:val="1"/>
        </w:numPr>
      </w:pPr>
      <w:r>
        <w:t>Gemäß dem Erlassentwurf endet die Frist zur Abgabe aller</w:t>
      </w:r>
      <w:r w:rsidR="0084429A">
        <w:t xml:space="preserve"> Grobanalyse</w:t>
      </w:r>
      <w:r>
        <w:t xml:space="preserve">n am 31.12.2024. Die Frist </w:t>
      </w:r>
      <w:r w:rsidR="00736C22">
        <w:t>sollte</w:t>
      </w:r>
      <w:r w:rsidR="0084429A">
        <w:t xml:space="preserve"> </w:t>
      </w:r>
      <w:r w:rsidR="00803E46">
        <w:t xml:space="preserve">nach Veröffentlichung </w:t>
      </w:r>
      <w:r w:rsidR="005E23F7">
        <w:t>mindestens 12 Monate</w:t>
      </w:r>
      <w:r w:rsidR="00630930">
        <w:t xml:space="preserve"> </w:t>
      </w:r>
      <w:r w:rsidR="00803E46">
        <w:t>vorsehen.</w:t>
      </w:r>
    </w:p>
    <w:p w:rsidR="007765C2" w:rsidRPr="00023E6F" w:rsidRDefault="001C2C68" w:rsidP="00FC6A00">
      <w:pPr>
        <w:pStyle w:val="Listenabsatz"/>
        <w:numPr>
          <w:ilvl w:val="0"/>
          <w:numId w:val="1"/>
        </w:numPr>
        <w:rPr>
          <w:u w:val="single"/>
        </w:rPr>
      </w:pPr>
      <w:r>
        <w:t>Für das Schutzkonzept</w:t>
      </w:r>
      <w:r w:rsidR="00630930">
        <w:t xml:space="preserve"> von Kläranlagen</w:t>
      </w:r>
      <w:r>
        <w:t xml:space="preserve"> ist die Frist zur Abgabe der 31.12.2026. Die Frist zur Umsetzung der Schutzziele</w:t>
      </w:r>
      <w:r w:rsidR="00736C22">
        <w:t xml:space="preserve"> auf Kläranlagen</w:t>
      </w:r>
      <w:r>
        <w:t xml:space="preserve"> ist der 31.12.2027. Lediglich ein Jahr zwischen Abgabe des Schutzkonzepts und Umsetzung der Schutzmaßnahmen auf den Kläranlagen scheint nicht realistisch. </w:t>
      </w:r>
    </w:p>
    <w:p w:rsidR="00735C54" w:rsidRPr="009B019C" w:rsidRDefault="00100BDC" w:rsidP="00735C54">
      <w:pPr>
        <w:pStyle w:val="Listenabsatz"/>
        <w:numPr>
          <w:ilvl w:val="0"/>
          <w:numId w:val="1"/>
        </w:numPr>
      </w:pPr>
      <w:r>
        <w:t>Vorschlag</w:t>
      </w:r>
      <w:r w:rsidR="00735C54">
        <w:t>:</w:t>
      </w:r>
      <w:r>
        <w:t xml:space="preserve"> </w:t>
      </w:r>
      <w:r w:rsidR="00735C54">
        <w:t xml:space="preserve">Die Frist sollte abhängig von der Größe der Maßnahmen erfolgen, z.B. für </w:t>
      </w:r>
      <w:r w:rsidR="00735C54" w:rsidRPr="009B019C">
        <w:t>Anlagen, die großflächigere Schutzmaßnahmen bedürfen</w:t>
      </w:r>
      <w:r w:rsidR="003D4336" w:rsidRPr="009B019C">
        <w:t>,</w:t>
      </w:r>
      <w:r w:rsidR="00735C54" w:rsidRPr="009B019C">
        <w:t xml:space="preserve"> </w:t>
      </w:r>
      <w:r w:rsidR="004952AD" w:rsidRPr="009B019C">
        <w:t>verlängert werden.</w:t>
      </w:r>
    </w:p>
    <w:p w:rsidR="009B019C" w:rsidRPr="009B019C" w:rsidRDefault="009B019C" w:rsidP="00735C54">
      <w:pPr>
        <w:pStyle w:val="Listenabsatz"/>
        <w:numPr>
          <w:ilvl w:val="0"/>
          <w:numId w:val="1"/>
        </w:numPr>
      </w:pPr>
      <w:r w:rsidRPr="009B019C">
        <w:t>Redaktioneller Hinweis: Verweise stimmen nicht (der unter Nr. 3-6) und weitere.</w:t>
      </w:r>
    </w:p>
    <w:p w:rsidR="00DD76C3" w:rsidRPr="00220EAF" w:rsidRDefault="004748B7" w:rsidP="00817031">
      <w:pPr>
        <w:rPr>
          <w:u w:val="single"/>
        </w:rPr>
      </w:pPr>
      <w:r w:rsidRPr="00220EAF">
        <w:rPr>
          <w:u w:val="single"/>
        </w:rPr>
        <w:t>Grobanalyse</w:t>
      </w:r>
      <w:r w:rsidR="0017367F">
        <w:rPr>
          <w:u w:val="single"/>
        </w:rPr>
        <w:t>:</w:t>
      </w:r>
      <w:r w:rsidR="0017367F" w:rsidRPr="0017367F">
        <w:rPr>
          <w:i/>
        </w:rPr>
        <w:t xml:space="preserve"> (Anlage 3)</w:t>
      </w:r>
    </w:p>
    <w:p w:rsidR="00EE325F" w:rsidRDefault="00EE325F" w:rsidP="004748B7">
      <w:pPr>
        <w:pStyle w:val="Listenabsatz"/>
        <w:numPr>
          <w:ilvl w:val="0"/>
          <w:numId w:val="1"/>
        </w:numPr>
      </w:pPr>
      <w:r>
        <w:t xml:space="preserve">Die Formulierung unter 2.1 </w:t>
      </w:r>
      <w:r w:rsidRPr="00051DF1">
        <w:rPr>
          <w:i/>
        </w:rPr>
        <w:t>„Bauliche Aspekte für das einzuhaltende Schutzziel“</w:t>
      </w:r>
      <w:r>
        <w:t xml:space="preserve"> sollte </w:t>
      </w:r>
      <w:r w:rsidR="00051DF1">
        <w:t xml:space="preserve">im Hinblick auf das Schutzziel </w:t>
      </w:r>
      <w:r>
        <w:t>präzisiert werden. Als Schutzziel sind hier vermutlich die in Anlage 2a als bauliche Maßnahmen für den Objektschutz definierten Kategorien gemeint</w:t>
      </w:r>
      <w:r w:rsidR="008B48AA">
        <w:t xml:space="preserve"> („O“)</w:t>
      </w:r>
      <w:r>
        <w:t xml:space="preserve">. </w:t>
      </w:r>
    </w:p>
    <w:p w:rsidR="007B5483" w:rsidRDefault="00E44383" w:rsidP="004748B7">
      <w:pPr>
        <w:pStyle w:val="Listenabsatz"/>
        <w:numPr>
          <w:ilvl w:val="0"/>
          <w:numId w:val="1"/>
        </w:numPr>
      </w:pPr>
      <w:r>
        <w:t xml:space="preserve">Die folgenden </w:t>
      </w:r>
      <w:r w:rsidR="007B5483">
        <w:t xml:space="preserve">Fragen </w:t>
      </w:r>
      <w:r>
        <w:t xml:space="preserve">unter Ziffer 2.1 sind </w:t>
      </w:r>
      <w:r w:rsidR="007B5483">
        <w:t xml:space="preserve">bei </w:t>
      </w:r>
      <w:r>
        <w:t xml:space="preserve">Anlagen die vor Jahrzehnten von anderen Betreibern übernommen wurden schwierig mit „Ja“ zu beantworten, was eine Einordnung als </w:t>
      </w:r>
      <w:r w:rsidRPr="00BE66B1">
        <w:rPr>
          <w:i/>
        </w:rPr>
        <w:t>„nicht überflutungssicher“</w:t>
      </w:r>
      <w:r>
        <w:t xml:space="preserve"> im Ergebnis unter Ziffer 4 zur Folge hat:</w:t>
      </w:r>
    </w:p>
    <w:p w:rsidR="007B5483" w:rsidRPr="00BE66B1" w:rsidRDefault="00E44383" w:rsidP="004748B7">
      <w:pPr>
        <w:pStyle w:val="Listenabsatz"/>
        <w:numPr>
          <w:ilvl w:val="1"/>
          <w:numId w:val="1"/>
        </w:numPr>
        <w:rPr>
          <w:rFonts w:cstheme="minorHAnsi"/>
          <w:i/>
          <w:sz w:val="28"/>
        </w:rPr>
      </w:pPr>
      <w:r w:rsidRPr="00BE66B1">
        <w:rPr>
          <w:rFonts w:eastAsia="Arial" w:cstheme="minorHAnsi"/>
          <w:i/>
        </w:rPr>
        <w:t>„</w:t>
      </w:r>
      <w:r w:rsidR="007B5483" w:rsidRPr="00BE66B1">
        <w:rPr>
          <w:rFonts w:eastAsia="Arial" w:cstheme="minorHAnsi"/>
          <w:i/>
        </w:rPr>
        <w:t>Sind die maximalen HW- und Grundwasserstände bei Planung und Bau berücksichtigt?</w:t>
      </w:r>
      <w:r w:rsidRPr="00BE66B1">
        <w:rPr>
          <w:rFonts w:eastAsia="Arial" w:cstheme="minorHAnsi"/>
          <w:i/>
        </w:rPr>
        <w:t>“</w:t>
      </w:r>
    </w:p>
    <w:p w:rsidR="007B5483" w:rsidRPr="00BE66B1" w:rsidRDefault="00E44383" w:rsidP="004748B7">
      <w:pPr>
        <w:pStyle w:val="Listenabsatz"/>
        <w:numPr>
          <w:ilvl w:val="1"/>
          <w:numId w:val="1"/>
        </w:numPr>
        <w:rPr>
          <w:rFonts w:cstheme="minorHAnsi"/>
          <w:i/>
          <w:sz w:val="28"/>
        </w:rPr>
      </w:pPr>
      <w:r w:rsidRPr="00BE66B1">
        <w:rPr>
          <w:rFonts w:eastAsia="Arial" w:cstheme="minorHAnsi"/>
          <w:i/>
        </w:rPr>
        <w:t>„</w:t>
      </w:r>
      <w:r w:rsidR="007B5483" w:rsidRPr="00BE66B1">
        <w:rPr>
          <w:rFonts w:eastAsia="Arial" w:cstheme="minorHAnsi"/>
          <w:i/>
        </w:rPr>
        <w:t>Sind alle HW-relevanten Bestimmungen aus der Genehmigung für das maßge</w:t>
      </w:r>
      <w:r w:rsidRPr="00BE66B1">
        <w:rPr>
          <w:rFonts w:eastAsia="Arial" w:cstheme="minorHAnsi"/>
          <w:i/>
        </w:rPr>
        <w:t>bliche HW-Ereignis eingehalten?“</w:t>
      </w:r>
    </w:p>
    <w:p w:rsidR="00080BF9" w:rsidRPr="00080BF9" w:rsidRDefault="00080BF9" w:rsidP="00080BF9">
      <w:pPr>
        <w:pStyle w:val="Listenabsatz"/>
        <w:numPr>
          <w:ilvl w:val="1"/>
          <w:numId w:val="1"/>
        </w:numPr>
        <w:rPr>
          <w:rFonts w:cstheme="minorHAnsi"/>
        </w:rPr>
      </w:pPr>
      <w:r w:rsidRPr="00BE66B1">
        <w:rPr>
          <w:rFonts w:cstheme="minorHAnsi"/>
          <w:i/>
        </w:rPr>
        <w:t>„Sind die maßgeblichen Grundwasserstände hinsichtlich Auftrieb und Statik berücksichtigt (Standsicherheit)?“</w:t>
      </w:r>
    </w:p>
    <w:p w:rsidR="009D35DE" w:rsidRPr="000F52A4" w:rsidRDefault="00044858" w:rsidP="004748B7">
      <w:pPr>
        <w:pStyle w:val="Listenabsatz"/>
        <w:numPr>
          <w:ilvl w:val="0"/>
          <w:numId w:val="1"/>
        </w:numPr>
      </w:pPr>
      <w:r w:rsidRPr="000F52A4">
        <w:t>Ab wann wird die Sicherung der Zu- und Ablaufsammler</w:t>
      </w:r>
      <w:r w:rsidR="00133758" w:rsidRPr="000F52A4">
        <w:t xml:space="preserve"> gegen Überflutung</w:t>
      </w:r>
      <w:r w:rsidRPr="000F52A4">
        <w:t xml:space="preserve"> als „ausreichend“ bezeichnet? (Ziffer 2.1)</w:t>
      </w:r>
    </w:p>
    <w:p w:rsidR="00F56BEB" w:rsidRPr="000F52A4" w:rsidRDefault="000011E2" w:rsidP="004748B7">
      <w:pPr>
        <w:pStyle w:val="Listenabsatz"/>
        <w:numPr>
          <w:ilvl w:val="0"/>
          <w:numId w:val="1"/>
        </w:numPr>
      </w:pPr>
      <w:r w:rsidRPr="000F52A4">
        <w:t xml:space="preserve">Die Frage </w:t>
      </w:r>
      <w:r w:rsidR="00862E07" w:rsidRPr="000F52A4">
        <w:t>„</w:t>
      </w:r>
      <w:r w:rsidR="009D35DE" w:rsidRPr="000F52A4">
        <w:t>Ist ein höheres Schutzniveau für elektrische Einrichtungen erforderlich?</w:t>
      </w:r>
      <w:r w:rsidR="00862E07" w:rsidRPr="000F52A4">
        <w:t>“</w:t>
      </w:r>
      <w:r w:rsidRPr="000F52A4">
        <w:t xml:space="preserve"> sollte </w:t>
      </w:r>
      <w:r w:rsidR="00E44383" w:rsidRPr="000F52A4">
        <w:t>korrigiert</w:t>
      </w:r>
      <w:r w:rsidRPr="000F52A4">
        <w:t xml:space="preserve"> werden.</w:t>
      </w:r>
      <w:r w:rsidR="00E44383" w:rsidRPr="000F52A4">
        <w:t xml:space="preserve"> Im Gegensatz zu allen anderen Fragen unter Ziffer 2.1 ist bei dieser Frage nach unserer Interpretation die Beantwortung mit „Nein“ wünschenswert. Gemäß Ziffer 4 führt jedoch die Beantwortung der Frage mit „Nein“ dazu die Anlage als nicht überflutungssicher einzuordnen.</w:t>
      </w:r>
    </w:p>
    <w:p w:rsidR="00AA3E00" w:rsidRPr="000F52A4" w:rsidRDefault="000011E2" w:rsidP="00371DE9">
      <w:pPr>
        <w:pStyle w:val="Listenabsatz"/>
        <w:numPr>
          <w:ilvl w:val="0"/>
          <w:numId w:val="1"/>
        </w:numPr>
      </w:pPr>
      <w:r w:rsidRPr="000F52A4">
        <w:t xml:space="preserve">Die Frage </w:t>
      </w:r>
      <w:r w:rsidR="00862E07" w:rsidRPr="000F52A4">
        <w:t>„</w:t>
      </w:r>
      <w:r w:rsidR="009D35DE" w:rsidRPr="000F52A4">
        <w:t>Ist ein ordnungsgemäßer Betrieb auch ohne Stromversorgung möglich?</w:t>
      </w:r>
      <w:r w:rsidR="00862E07" w:rsidRPr="000F52A4">
        <w:t>“</w:t>
      </w:r>
      <w:r w:rsidRPr="000F52A4">
        <w:t xml:space="preserve"> sollte präzisiert werden. Die Frage</w:t>
      </w:r>
      <w:r w:rsidR="009D35DE" w:rsidRPr="000F52A4">
        <w:t xml:space="preserve"> dürfte bei jeder Anlage</w:t>
      </w:r>
      <w:r w:rsidRPr="000F52A4">
        <w:t xml:space="preserve"> mit biologischer Reinigung oder Pumpstation mit „N</w:t>
      </w:r>
      <w:r w:rsidR="009D35DE" w:rsidRPr="000F52A4">
        <w:t>ein</w:t>
      </w:r>
      <w:r w:rsidRPr="000F52A4">
        <w:t>“</w:t>
      </w:r>
      <w:r w:rsidR="009D35DE" w:rsidRPr="000F52A4">
        <w:t xml:space="preserve"> beantwortet werden</w:t>
      </w:r>
      <w:r w:rsidRPr="000F52A4">
        <w:t>. Vermutlich zielt die Frage vielmehr auf eine mögliche Versorgung mit Netzersatzanlagen bei Ausfall des Stromnetzes ab</w:t>
      </w:r>
      <w:r w:rsidR="003D4336" w:rsidRPr="000F52A4">
        <w:t xml:space="preserve"> und da stellt sich </w:t>
      </w:r>
      <w:r w:rsidR="003D4336" w:rsidRPr="000F52A4">
        <w:lastRenderedPageBreak/>
        <w:t>die Frage, ob das noch ein</w:t>
      </w:r>
      <w:r w:rsidR="002107E2" w:rsidRPr="000F52A4">
        <w:t xml:space="preserve"> </w:t>
      </w:r>
      <w:r w:rsidR="003D4336" w:rsidRPr="000F52A4">
        <w:t>ordnungsgemäßer Betrieb ist.</w:t>
      </w:r>
      <w:r w:rsidR="00E44383" w:rsidRPr="000F52A4">
        <w:t xml:space="preserve"> (Ziffer 2.1)</w:t>
      </w:r>
      <w:r w:rsidR="003D4336" w:rsidRPr="000F52A4">
        <w:t>. Vorschlag für die Formulierung: Ist ein Weiterbetrieb ohne Stromversorgung</w:t>
      </w:r>
      <w:r w:rsidR="002107E2" w:rsidRPr="000F52A4">
        <w:t>/mit NEAs</w:t>
      </w:r>
      <w:r w:rsidR="003D4336" w:rsidRPr="000F52A4">
        <w:t xml:space="preserve"> möglich?</w:t>
      </w:r>
    </w:p>
    <w:p w:rsidR="00D167A7" w:rsidRPr="000F52A4" w:rsidRDefault="00270436" w:rsidP="00817031">
      <w:pPr>
        <w:pStyle w:val="Listenabsatz"/>
        <w:numPr>
          <w:ilvl w:val="0"/>
          <w:numId w:val="1"/>
        </w:numPr>
      </w:pPr>
      <w:r w:rsidRPr="000F52A4">
        <w:t>Unter Ziffer 3 werden betriebliche Aspekte abgefragt. Es ist nicht nachvollziehbar</w:t>
      </w:r>
      <w:r w:rsidR="00BB0911" w:rsidRPr="000F52A4">
        <w:t>,</w:t>
      </w:r>
      <w:r w:rsidRPr="000F52A4">
        <w:t xml:space="preserve"> welche Schutzziele</w:t>
      </w:r>
      <w:r w:rsidR="00564ED9" w:rsidRPr="000F52A4">
        <w:t xml:space="preserve"> für die einzelnen Fragen vorgegeben werden.</w:t>
      </w:r>
      <w:r w:rsidR="005D7C95" w:rsidRPr="000F52A4">
        <w:t xml:space="preserve"> </w:t>
      </w:r>
    </w:p>
    <w:p w:rsidR="000F52A4" w:rsidRPr="000F52A4" w:rsidRDefault="000F52A4" w:rsidP="000F52A4">
      <w:pPr>
        <w:pStyle w:val="Listenabsatz"/>
        <w:numPr>
          <w:ilvl w:val="0"/>
          <w:numId w:val="1"/>
        </w:numPr>
        <w:rPr>
          <w:rFonts w:eastAsia="Arial" w:cstheme="minorHAnsi"/>
        </w:rPr>
      </w:pPr>
      <w:r w:rsidRPr="000F52A4">
        <w:rPr>
          <w:rFonts w:eastAsia="Arial" w:cstheme="minorHAnsi"/>
        </w:rPr>
        <w:t>Die Frage inwieweit "ankommendes (Misch-)Wasser auch bei Hochwasser und/oder Stromausfall schadlos in das aufnehmende Gewässer abgeführt werden kann" lässt sich unter Umständen ohne eine zeitaufwändige hydraulische Berechnung nicht beantworten und ist aus unserer Sicht für eine Grobanalyse zu detailliert.</w:t>
      </w:r>
    </w:p>
    <w:p w:rsidR="000F52A4" w:rsidRPr="000F52A4" w:rsidRDefault="000F52A4" w:rsidP="000F52A4">
      <w:pPr>
        <w:pStyle w:val="Listenabsatz"/>
        <w:numPr>
          <w:ilvl w:val="0"/>
          <w:numId w:val="1"/>
        </w:numPr>
        <w:rPr>
          <w:rFonts w:eastAsia="Arial" w:cstheme="minorHAnsi"/>
        </w:rPr>
      </w:pPr>
      <w:r w:rsidRPr="000F52A4">
        <w:rPr>
          <w:rFonts w:eastAsia="Arial" w:cstheme="minorHAnsi"/>
        </w:rPr>
        <w:t>"Gibt es Notfallszenarien für das Versagen von Bauwerken oder für über den maßgeblichen HW-Fall hinausgehende Ereignisse?" Wie ist diese Frage zu verstehen und kann eine Abwasseranlage im Ergebnis unter Punkt 4 dann überhaupt noch als überflutungssicher eingestuft werden?</w:t>
      </w:r>
    </w:p>
    <w:sectPr w:rsidR="000F52A4" w:rsidRPr="000F52A4" w:rsidSect="00710C83">
      <w:footerReference w:type="default" r:id="rId7"/>
      <w:headerReference w:type="firs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1BB" w:rsidRDefault="001C31BB" w:rsidP="00710C83">
      <w:pPr>
        <w:spacing w:after="0" w:line="240" w:lineRule="auto"/>
      </w:pPr>
      <w:r>
        <w:separator/>
      </w:r>
    </w:p>
  </w:endnote>
  <w:endnote w:type="continuationSeparator" w:id="0">
    <w:p w:rsidR="001C31BB" w:rsidRDefault="001C31BB" w:rsidP="0071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348103"/>
      <w:docPartObj>
        <w:docPartGallery w:val="Page Numbers (Bottom of Page)"/>
        <w:docPartUnique/>
      </w:docPartObj>
    </w:sdtPr>
    <w:sdtEndPr/>
    <w:sdtContent>
      <w:p w:rsidR="002922A8" w:rsidRDefault="002922A8">
        <w:pPr>
          <w:pStyle w:val="Fuzeile"/>
          <w:jc w:val="right"/>
        </w:pPr>
        <w:r>
          <w:fldChar w:fldCharType="begin"/>
        </w:r>
        <w:r>
          <w:instrText>PAGE   \* MERGEFORMAT</w:instrText>
        </w:r>
        <w:r>
          <w:fldChar w:fldCharType="separate"/>
        </w:r>
        <w:r>
          <w:t>2</w:t>
        </w:r>
        <w:r>
          <w:fldChar w:fldCharType="end"/>
        </w:r>
      </w:p>
    </w:sdtContent>
  </w:sdt>
  <w:p w:rsidR="002922A8" w:rsidRDefault="002922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379122"/>
      <w:docPartObj>
        <w:docPartGallery w:val="Page Numbers (Bottom of Page)"/>
        <w:docPartUnique/>
      </w:docPartObj>
    </w:sdtPr>
    <w:sdtEndPr/>
    <w:sdtContent>
      <w:p w:rsidR="00AB509B" w:rsidRDefault="00AB509B">
        <w:pPr>
          <w:pStyle w:val="Fuzeile"/>
          <w:jc w:val="right"/>
        </w:pPr>
        <w:r>
          <w:fldChar w:fldCharType="begin"/>
        </w:r>
        <w:r>
          <w:instrText>PAGE   \* MERGEFORMAT</w:instrText>
        </w:r>
        <w:r>
          <w:fldChar w:fldCharType="separate"/>
        </w:r>
        <w:r>
          <w:t>2</w:t>
        </w:r>
        <w:r>
          <w:fldChar w:fldCharType="end"/>
        </w:r>
      </w:p>
    </w:sdtContent>
  </w:sdt>
  <w:p w:rsidR="00AB509B" w:rsidRDefault="00AB50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1BB" w:rsidRDefault="001C31BB" w:rsidP="00710C83">
      <w:pPr>
        <w:spacing w:after="0" w:line="240" w:lineRule="auto"/>
      </w:pPr>
      <w:r>
        <w:separator/>
      </w:r>
    </w:p>
  </w:footnote>
  <w:footnote w:type="continuationSeparator" w:id="0">
    <w:p w:rsidR="001C31BB" w:rsidRDefault="001C31BB" w:rsidP="00710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E3D" w:rsidRPr="00AB509B" w:rsidRDefault="00AB509B" w:rsidP="00AB509B">
    <w:pPr>
      <w:rPr>
        <w:i/>
      </w:rPr>
    </w:pPr>
    <w:r>
      <w:rPr>
        <w:i/>
      </w:rPr>
      <w:t xml:space="preserve">Rückmeldung zum Entwurf des </w:t>
    </w:r>
    <w:r w:rsidRPr="00E86C7B">
      <w:rPr>
        <w:i/>
      </w:rPr>
      <w:t>Runderlass</w:t>
    </w:r>
    <w:r>
      <w:rPr>
        <w:i/>
      </w:rPr>
      <w:t>es</w:t>
    </w:r>
    <w:r w:rsidRPr="00E86C7B">
      <w:rPr>
        <w:i/>
      </w:rPr>
      <w:t xml:space="preserve"> zur Hochwassersicherheit von Abwasseranlagen in </w:t>
    </w:r>
    <w:r>
      <w:rPr>
        <w:i/>
      </w:rPr>
      <w:t>NRW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F44"/>
    <w:multiLevelType w:val="hybridMultilevel"/>
    <w:tmpl w:val="5C5E13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CC4E9E"/>
    <w:multiLevelType w:val="hybridMultilevel"/>
    <w:tmpl w:val="952A1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510546"/>
    <w:multiLevelType w:val="hybridMultilevel"/>
    <w:tmpl w:val="1CB00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AE33AA"/>
    <w:multiLevelType w:val="hybridMultilevel"/>
    <w:tmpl w:val="94A29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6C696D"/>
    <w:multiLevelType w:val="hybridMultilevel"/>
    <w:tmpl w:val="D5C6B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9C"/>
    <w:rsid w:val="000011E2"/>
    <w:rsid w:val="00023E6F"/>
    <w:rsid w:val="00044858"/>
    <w:rsid w:val="00044C05"/>
    <w:rsid w:val="00051DF1"/>
    <w:rsid w:val="00052A2E"/>
    <w:rsid w:val="00062E3D"/>
    <w:rsid w:val="00070633"/>
    <w:rsid w:val="000763FE"/>
    <w:rsid w:val="00080BF9"/>
    <w:rsid w:val="000F24F6"/>
    <w:rsid w:val="000F52A4"/>
    <w:rsid w:val="00100BDC"/>
    <w:rsid w:val="001276AE"/>
    <w:rsid w:val="00133758"/>
    <w:rsid w:val="0017367F"/>
    <w:rsid w:val="001A20C0"/>
    <w:rsid w:val="001C2C68"/>
    <w:rsid w:val="001C31BB"/>
    <w:rsid w:val="001C7E1A"/>
    <w:rsid w:val="002107E2"/>
    <w:rsid w:val="00220EAF"/>
    <w:rsid w:val="002272C0"/>
    <w:rsid w:val="00270436"/>
    <w:rsid w:val="002712F0"/>
    <w:rsid w:val="00282A38"/>
    <w:rsid w:val="002872C6"/>
    <w:rsid w:val="002922A8"/>
    <w:rsid w:val="002B1FC5"/>
    <w:rsid w:val="002E609C"/>
    <w:rsid w:val="002E69B3"/>
    <w:rsid w:val="002E6E14"/>
    <w:rsid w:val="00317314"/>
    <w:rsid w:val="003251D8"/>
    <w:rsid w:val="003417FB"/>
    <w:rsid w:val="00366509"/>
    <w:rsid w:val="00371DE9"/>
    <w:rsid w:val="00386775"/>
    <w:rsid w:val="003C71AF"/>
    <w:rsid w:val="003D4336"/>
    <w:rsid w:val="003D6AAC"/>
    <w:rsid w:val="0041343D"/>
    <w:rsid w:val="00441662"/>
    <w:rsid w:val="004748B7"/>
    <w:rsid w:val="00490B32"/>
    <w:rsid w:val="00493AA5"/>
    <w:rsid w:val="004952AD"/>
    <w:rsid w:val="004B0A68"/>
    <w:rsid w:val="00522507"/>
    <w:rsid w:val="00564ED9"/>
    <w:rsid w:val="0058116B"/>
    <w:rsid w:val="00587ABC"/>
    <w:rsid w:val="005A5FB2"/>
    <w:rsid w:val="005C0E83"/>
    <w:rsid w:val="005D7C95"/>
    <w:rsid w:val="005E23F7"/>
    <w:rsid w:val="005E2B70"/>
    <w:rsid w:val="005E3A21"/>
    <w:rsid w:val="006061B4"/>
    <w:rsid w:val="006062CE"/>
    <w:rsid w:val="006205EA"/>
    <w:rsid w:val="00626411"/>
    <w:rsid w:val="00630930"/>
    <w:rsid w:val="006354C9"/>
    <w:rsid w:val="006B7DBE"/>
    <w:rsid w:val="00710C83"/>
    <w:rsid w:val="00732903"/>
    <w:rsid w:val="00735C54"/>
    <w:rsid w:val="00736C22"/>
    <w:rsid w:val="0074355A"/>
    <w:rsid w:val="00752D38"/>
    <w:rsid w:val="00775A0E"/>
    <w:rsid w:val="007765C2"/>
    <w:rsid w:val="00782586"/>
    <w:rsid w:val="007B5483"/>
    <w:rsid w:val="007C3F57"/>
    <w:rsid w:val="00803412"/>
    <w:rsid w:val="00803E46"/>
    <w:rsid w:val="00817031"/>
    <w:rsid w:val="0084429A"/>
    <w:rsid w:val="008610D5"/>
    <w:rsid w:val="00862E07"/>
    <w:rsid w:val="008717C6"/>
    <w:rsid w:val="00871926"/>
    <w:rsid w:val="0087353F"/>
    <w:rsid w:val="008A2F3C"/>
    <w:rsid w:val="008A45FD"/>
    <w:rsid w:val="008B242F"/>
    <w:rsid w:val="008B48AA"/>
    <w:rsid w:val="008C101E"/>
    <w:rsid w:val="008F7BF1"/>
    <w:rsid w:val="00910AEC"/>
    <w:rsid w:val="00941228"/>
    <w:rsid w:val="00947B08"/>
    <w:rsid w:val="00954BBA"/>
    <w:rsid w:val="009B019C"/>
    <w:rsid w:val="009B7DDB"/>
    <w:rsid w:val="009D35DE"/>
    <w:rsid w:val="00A122AD"/>
    <w:rsid w:val="00A16FA9"/>
    <w:rsid w:val="00A55CEB"/>
    <w:rsid w:val="00AA3E00"/>
    <w:rsid w:val="00AB509B"/>
    <w:rsid w:val="00B04B70"/>
    <w:rsid w:val="00B6078D"/>
    <w:rsid w:val="00B611F8"/>
    <w:rsid w:val="00B822D2"/>
    <w:rsid w:val="00B833CA"/>
    <w:rsid w:val="00BB0911"/>
    <w:rsid w:val="00BD1821"/>
    <w:rsid w:val="00BE4E08"/>
    <w:rsid w:val="00BE66B1"/>
    <w:rsid w:val="00C31768"/>
    <w:rsid w:val="00C45B92"/>
    <w:rsid w:val="00CA0CA4"/>
    <w:rsid w:val="00CF1F92"/>
    <w:rsid w:val="00D167A7"/>
    <w:rsid w:val="00D24FD4"/>
    <w:rsid w:val="00D47EE7"/>
    <w:rsid w:val="00DB0BEA"/>
    <w:rsid w:val="00DB11A7"/>
    <w:rsid w:val="00DC3702"/>
    <w:rsid w:val="00DD76C3"/>
    <w:rsid w:val="00DE63E4"/>
    <w:rsid w:val="00E33A4F"/>
    <w:rsid w:val="00E44383"/>
    <w:rsid w:val="00E86C7B"/>
    <w:rsid w:val="00EB01A4"/>
    <w:rsid w:val="00EB28EF"/>
    <w:rsid w:val="00EE325F"/>
    <w:rsid w:val="00F2041C"/>
    <w:rsid w:val="00F22F40"/>
    <w:rsid w:val="00F25DDE"/>
    <w:rsid w:val="00F27CA3"/>
    <w:rsid w:val="00F56BEB"/>
    <w:rsid w:val="00FA7500"/>
    <w:rsid w:val="00FF60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8426"/>
  <w15:chartTrackingRefBased/>
  <w15:docId w15:val="{13A9F3E7-3E6C-46B3-BAE0-53D23060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5B92"/>
    <w:pPr>
      <w:ind w:left="720"/>
      <w:contextualSpacing/>
    </w:pPr>
  </w:style>
  <w:style w:type="character" w:styleId="Kommentarzeichen">
    <w:name w:val="annotation reference"/>
    <w:basedOn w:val="Absatz-Standardschriftart"/>
    <w:uiPriority w:val="99"/>
    <w:semiHidden/>
    <w:unhideWhenUsed/>
    <w:rsid w:val="007B5483"/>
    <w:rPr>
      <w:sz w:val="16"/>
      <w:szCs w:val="16"/>
    </w:rPr>
  </w:style>
  <w:style w:type="paragraph" w:styleId="Kommentartext">
    <w:name w:val="annotation text"/>
    <w:basedOn w:val="Standard"/>
    <w:link w:val="KommentartextZchn"/>
    <w:uiPriority w:val="99"/>
    <w:semiHidden/>
    <w:unhideWhenUsed/>
    <w:rsid w:val="007B5483"/>
    <w:pPr>
      <w:spacing w:line="240" w:lineRule="auto"/>
    </w:pPr>
    <w:rPr>
      <w:rFonts w:ascii="Calibri" w:eastAsia="Calibri" w:hAnsi="Calibri" w:cs="Calibri"/>
      <w:color w:val="000000"/>
      <w:sz w:val="20"/>
      <w:szCs w:val="20"/>
      <w:lang w:eastAsia="de-DE"/>
    </w:rPr>
  </w:style>
  <w:style w:type="character" w:customStyle="1" w:styleId="KommentartextZchn">
    <w:name w:val="Kommentartext Zchn"/>
    <w:basedOn w:val="Absatz-Standardschriftart"/>
    <w:link w:val="Kommentartext"/>
    <w:uiPriority w:val="99"/>
    <w:semiHidden/>
    <w:rsid w:val="007B5483"/>
    <w:rPr>
      <w:rFonts w:ascii="Calibri" w:eastAsia="Calibri" w:hAnsi="Calibri" w:cs="Calibri"/>
      <w:color w:val="000000"/>
      <w:sz w:val="20"/>
      <w:szCs w:val="20"/>
      <w:lang w:eastAsia="de-DE"/>
    </w:rPr>
  </w:style>
  <w:style w:type="paragraph" w:styleId="Sprechblasentext">
    <w:name w:val="Balloon Text"/>
    <w:basedOn w:val="Standard"/>
    <w:link w:val="SprechblasentextZchn"/>
    <w:uiPriority w:val="99"/>
    <w:semiHidden/>
    <w:unhideWhenUsed/>
    <w:rsid w:val="007B548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5483"/>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A3E00"/>
    <w:rPr>
      <w:rFonts w:asciiTheme="minorHAnsi" w:eastAsiaTheme="minorHAnsi" w:hAnsiTheme="minorHAnsi" w:cstheme="minorBidi"/>
      <w:b/>
      <w:bCs/>
      <w:color w:val="auto"/>
      <w:lang w:eastAsia="en-US"/>
    </w:rPr>
  </w:style>
  <w:style w:type="character" w:customStyle="1" w:styleId="KommentarthemaZchn">
    <w:name w:val="Kommentarthema Zchn"/>
    <w:basedOn w:val="KommentartextZchn"/>
    <w:link w:val="Kommentarthema"/>
    <w:uiPriority w:val="99"/>
    <w:semiHidden/>
    <w:rsid w:val="00AA3E00"/>
    <w:rPr>
      <w:rFonts w:ascii="Calibri" w:eastAsia="Calibri" w:hAnsi="Calibri" w:cs="Calibri"/>
      <w:b/>
      <w:bCs/>
      <w:color w:val="000000"/>
      <w:sz w:val="20"/>
      <w:szCs w:val="20"/>
      <w:lang w:eastAsia="de-DE"/>
    </w:rPr>
  </w:style>
  <w:style w:type="paragraph" w:styleId="Kopfzeile">
    <w:name w:val="header"/>
    <w:basedOn w:val="Standard"/>
    <w:link w:val="KopfzeileZchn"/>
    <w:uiPriority w:val="99"/>
    <w:unhideWhenUsed/>
    <w:rsid w:val="00710C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C83"/>
  </w:style>
  <w:style w:type="paragraph" w:styleId="Fuzeile">
    <w:name w:val="footer"/>
    <w:basedOn w:val="Standard"/>
    <w:link w:val="FuzeileZchn"/>
    <w:uiPriority w:val="99"/>
    <w:unhideWhenUsed/>
    <w:rsid w:val="00710C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6238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Niersverband</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Schäfer-Sack</dc:creator>
  <cp:keywords/>
  <dc:description/>
  <cp:lastModifiedBy>Schäfer-Sack Jennifer</cp:lastModifiedBy>
  <cp:revision>10</cp:revision>
  <cp:lastPrinted>2023-10-13T11:19:00Z</cp:lastPrinted>
  <dcterms:created xsi:type="dcterms:W3CDTF">2023-10-13T10:24:00Z</dcterms:created>
  <dcterms:modified xsi:type="dcterms:W3CDTF">2023-10-13T13:08:00Z</dcterms:modified>
</cp:coreProperties>
</file>