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F46" w:rsidRDefault="00934F46" w:rsidP="00E62DB8">
      <w:pPr>
        <w:spacing w:line="360" w:lineRule="auto"/>
        <w:rPr>
          <w:rFonts w:cs="Arial"/>
          <w:i/>
        </w:rPr>
      </w:pPr>
      <w:bookmarkStart w:id="0" w:name="_GoBack"/>
      <w:bookmarkEnd w:id="0"/>
    </w:p>
    <w:p w:rsidR="00934F46" w:rsidRDefault="00934F46" w:rsidP="00E62DB8">
      <w:pPr>
        <w:spacing w:line="360" w:lineRule="auto"/>
        <w:rPr>
          <w:rFonts w:cs="Arial"/>
          <w:i/>
        </w:rPr>
      </w:pPr>
    </w:p>
    <w:p w:rsidR="00934F46" w:rsidRDefault="00934F46" w:rsidP="00E62DB8">
      <w:pPr>
        <w:spacing w:line="360" w:lineRule="auto"/>
        <w:rPr>
          <w:rFonts w:cs="Arial"/>
          <w:i/>
        </w:rPr>
      </w:pPr>
    </w:p>
    <w:p w:rsidR="00934F46" w:rsidRDefault="00934F46" w:rsidP="00934F46">
      <w:pPr>
        <w:spacing w:line="360" w:lineRule="auto"/>
        <w:ind w:left="7080" w:firstLine="708"/>
        <w:rPr>
          <w:rFonts w:cs="Arial"/>
          <w:i/>
        </w:rPr>
      </w:pPr>
      <w:r>
        <w:rPr>
          <w:rFonts w:cs="Arial"/>
          <w:i/>
          <w:noProof/>
        </w:rPr>
        <w:drawing>
          <wp:inline distT="0" distB="0" distL="0" distR="0" wp14:anchorId="295B4895" wp14:editId="2DFC47A8">
            <wp:extent cx="1064638" cy="400050"/>
            <wp:effectExtent l="0" t="0" r="254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w_logo_3c.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67016" cy="400944"/>
                    </a:xfrm>
                    <a:prstGeom prst="rect">
                      <a:avLst/>
                    </a:prstGeom>
                  </pic:spPr>
                </pic:pic>
              </a:graphicData>
            </a:graphic>
          </wp:inline>
        </w:drawing>
      </w:r>
    </w:p>
    <w:p w:rsidR="00934F46" w:rsidRDefault="00D96637" w:rsidP="00E62DB8">
      <w:pPr>
        <w:spacing w:line="360" w:lineRule="auto"/>
        <w:rPr>
          <w:rFonts w:cs="Arial"/>
          <w:i/>
        </w:rPr>
      </w:pPr>
      <w:r>
        <w:rPr>
          <w:rFonts w:cs="Arial"/>
          <w:i/>
        </w:rPr>
        <w:t>Scs/26</w:t>
      </w:r>
      <w:r w:rsidR="00E62DB8">
        <w:rPr>
          <w:rFonts w:cs="Arial"/>
          <w:i/>
        </w:rPr>
        <w:t>.</w:t>
      </w:r>
      <w:r w:rsidR="00E62DB8" w:rsidRPr="00E62DB8">
        <w:rPr>
          <w:rFonts w:cs="Arial"/>
          <w:i/>
        </w:rPr>
        <w:t>05</w:t>
      </w:r>
      <w:r w:rsidR="00E62DB8">
        <w:rPr>
          <w:rFonts w:cs="Arial"/>
          <w:i/>
        </w:rPr>
        <w:t>.</w:t>
      </w:r>
      <w:r w:rsidR="00E62DB8" w:rsidRPr="00E62DB8">
        <w:rPr>
          <w:rFonts w:cs="Arial"/>
          <w:i/>
        </w:rPr>
        <w:t>14</w:t>
      </w:r>
      <w:r w:rsidR="00E62DB8">
        <w:rPr>
          <w:rFonts w:cs="Arial"/>
          <w:i/>
        </w:rPr>
        <w:tab/>
      </w:r>
      <w:r w:rsidR="00E62DB8">
        <w:rPr>
          <w:rFonts w:cs="Arial"/>
          <w:i/>
        </w:rPr>
        <w:tab/>
      </w:r>
      <w:r w:rsidR="00E62DB8">
        <w:rPr>
          <w:rFonts w:cs="Arial"/>
          <w:i/>
        </w:rPr>
        <w:tab/>
      </w:r>
      <w:r w:rsidR="00E62DB8">
        <w:rPr>
          <w:rFonts w:cs="Arial"/>
          <w:i/>
        </w:rPr>
        <w:tab/>
      </w:r>
      <w:r w:rsidR="00E62DB8">
        <w:rPr>
          <w:rFonts w:cs="Arial"/>
          <w:i/>
        </w:rPr>
        <w:tab/>
      </w:r>
      <w:r w:rsidR="00E62DB8">
        <w:rPr>
          <w:rFonts w:cs="Arial"/>
          <w:i/>
        </w:rPr>
        <w:tab/>
      </w:r>
      <w:r w:rsidR="00E62DB8">
        <w:rPr>
          <w:rFonts w:cs="Arial"/>
          <w:i/>
        </w:rPr>
        <w:tab/>
      </w:r>
      <w:r w:rsidR="00E62DB8">
        <w:rPr>
          <w:rFonts w:cs="Arial"/>
          <w:i/>
        </w:rPr>
        <w:tab/>
      </w:r>
      <w:r w:rsidR="00E62DB8">
        <w:rPr>
          <w:rFonts w:cs="Arial"/>
          <w:i/>
        </w:rPr>
        <w:tab/>
      </w:r>
    </w:p>
    <w:p w:rsidR="00E62DB8" w:rsidRDefault="00E62DB8" w:rsidP="00E62DB8">
      <w:pPr>
        <w:spacing w:line="360" w:lineRule="auto"/>
        <w:rPr>
          <w:rFonts w:cs="Arial"/>
          <w:b/>
          <w:i/>
        </w:rPr>
      </w:pPr>
    </w:p>
    <w:p w:rsidR="00E62DB8" w:rsidRDefault="00E62DB8" w:rsidP="00E62DB8">
      <w:pPr>
        <w:spacing w:line="360" w:lineRule="auto"/>
        <w:rPr>
          <w:rFonts w:cs="Arial"/>
          <w:b/>
          <w:i/>
        </w:rPr>
      </w:pPr>
    </w:p>
    <w:p w:rsidR="00AA342F" w:rsidRPr="00AA342F" w:rsidRDefault="00D96637" w:rsidP="00AA342F">
      <w:pPr>
        <w:spacing w:line="360" w:lineRule="auto"/>
        <w:rPr>
          <w:rFonts w:cs="Arial"/>
          <w:b/>
          <w:i/>
        </w:rPr>
      </w:pPr>
      <w:r>
        <w:rPr>
          <w:rFonts w:cs="Arial"/>
          <w:b/>
          <w:i/>
        </w:rPr>
        <w:t>Brüsseler Fahrplan</w:t>
      </w:r>
      <w:r w:rsidR="00172A5B">
        <w:rPr>
          <w:rFonts w:cs="Arial"/>
          <w:b/>
          <w:i/>
        </w:rPr>
        <w:t xml:space="preserve"> z</w:t>
      </w:r>
      <w:r w:rsidR="00AA342F" w:rsidRPr="00AA342F">
        <w:rPr>
          <w:rFonts w:cs="Arial"/>
          <w:b/>
          <w:i/>
        </w:rPr>
        <w:t xml:space="preserve">ur Thematik „prioritäre Stoffe“ </w:t>
      </w:r>
    </w:p>
    <w:p w:rsidR="00AA342F" w:rsidRPr="005244BC" w:rsidRDefault="00D96637" w:rsidP="00AA342F">
      <w:pPr>
        <w:pStyle w:val="Listenabsatz"/>
        <w:numPr>
          <w:ilvl w:val="0"/>
          <w:numId w:val="5"/>
        </w:numPr>
        <w:spacing w:line="360" w:lineRule="auto"/>
        <w:rPr>
          <w:rFonts w:cs="Arial"/>
        </w:rPr>
      </w:pPr>
      <w:r>
        <w:rPr>
          <w:rFonts w:cs="Arial"/>
        </w:rPr>
        <w:t>Das Erreichen</w:t>
      </w:r>
      <w:r w:rsidR="00AA342F">
        <w:rPr>
          <w:rFonts w:cs="Arial"/>
        </w:rPr>
        <w:t xml:space="preserve"> der guten chemischen Qu</w:t>
      </w:r>
      <w:r>
        <w:rPr>
          <w:rFonts w:cs="Arial"/>
        </w:rPr>
        <w:t>alität der Gewässer (sprich: die</w:t>
      </w:r>
      <w:r w:rsidR="00AA342F">
        <w:rPr>
          <w:rFonts w:cs="Arial"/>
        </w:rPr>
        <w:t xml:space="preserve"> Einhaltung </w:t>
      </w:r>
      <w:r>
        <w:rPr>
          <w:rFonts w:cs="Arial"/>
        </w:rPr>
        <w:t xml:space="preserve">der </w:t>
      </w:r>
      <w:r w:rsidR="00AA342F">
        <w:rPr>
          <w:rFonts w:cs="Arial"/>
        </w:rPr>
        <w:t>U</w:t>
      </w:r>
      <w:r>
        <w:rPr>
          <w:rFonts w:cs="Arial"/>
        </w:rPr>
        <w:t>mweltqualitätsnormen (U</w:t>
      </w:r>
      <w:r w:rsidR="00AA342F">
        <w:rPr>
          <w:rFonts w:cs="Arial"/>
        </w:rPr>
        <w:t>QN</w:t>
      </w:r>
      <w:r>
        <w:rPr>
          <w:rFonts w:cs="Arial"/>
        </w:rPr>
        <w:t>)</w:t>
      </w:r>
      <w:r w:rsidR="00AA342F">
        <w:rPr>
          <w:rFonts w:cs="Arial"/>
        </w:rPr>
        <w:t xml:space="preserve"> der unveränderten Anforderungen an die Substanzen </w:t>
      </w:r>
      <w:r>
        <w:rPr>
          <w:rFonts w:cs="Arial"/>
        </w:rPr>
        <w:t>der „alten“</w:t>
      </w:r>
      <w:r w:rsidR="00AA342F">
        <w:rPr>
          <w:rFonts w:cs="Arial"/>
        </w:rPr>
        <w:t xml:space="preserve"> Liste von 2008) hat bis Ende 2015 zu erfolgen.</w:t>
      </w:r>
    </w:p>
    <w:p w:rsidR="00AA342F" w:rsidRDefault="00AA342F" w:rsidP="00AA342F">
      <w:pPr>
        <w:pStyle w:val="Listenabsatz"/>
        <w:numPr>
          <w:ilvl w:val="0"/>
          <w:numId w:val="5"/>
        </w:numPr>
        <w:spacing w:line="360" w:lineRule="auto"/>
        <w:rPr>
          <w:rFonts w:cs="Arial"/>
        </w:rPr>
      </w:pPr>
      <w:r>
        <w:rPr>
          <w:rFonts w:cs="Arial"/>
        </w:rPr>
        <w:t xml:space="preserve">Einhaltung der in der </w:t>
      </w:r>
      <w:r w:rsidR="00D96637">
        <w:rPr>
          <w:rFonts w:cs="Arial"/>
        </w:rPr>
        <w:t>EU-Stoffliste</w:t>
      </w:r>
      <w:r>
        <w:rPr>
          <w:rFonts w:cs="Arial"/>
        </w:rPr>
        <w:t xml:space="preserve"> von 2013 gegenüber 2008 verschärften UQN soll bis zum 22. Dezember 2021 erfolgen.</w:t>
      </w:r>
    </w:p>
    <w:p w:rsidR="00AA342F" w:rsidRDefault="00AA342F" w:rsidP="00AA342F">
      <w:pPr>
        <w:pStyle w:val="Listenabsatz"/>
        <w:numPr>
          <w:ilvl w:val="0"/>
          <w:numId w:val="5"/>
        </w:numPr>
        <w:spacing w:line="360" w:lineRule="auto"/>
        <w:rPr>
          <w:rFonts w:cs="Arial"/>
        </w:rPr>
      </w:pPr>
      <w:r>
        <w:rPr>
          <w:rFonts w:cs="Arial"/>
        </w:rPr>
        <w:t xml:space="preserve">Einhaltung der neu aufgenommenen Stoffe der Richtlinie bis zum 22. Dezember 2027. </w:t>
      </w:r>
      <w:r w:rsidR="00172A5B">
        <w:rPr>
          <w:rFonts w:cs="Arial"/>
        </w:rPr>
        <w:t>Bis 10/</w:t>
      </w:r>
      <w:r>
        <w:rPr>
          <w:rFonts w:cs="Arial"/>
        </w:rPr>
        <w:t xml:space="preserve">2018 in den vorläufigen Maßnahmenprogrammen </w:t>
      </w:r>
      <w:r w:rsidR="00172A5B">
        <w:rPr>
          <w:rFonts w:cs="Arial"/>
        </w:rPr>
        <w:t xml:space="preserve">zu </w:t>
      </w:r>
      <w:r>
        <w:rPr>
          <w:rFonts w:cs="Arial"/>
        </w:rPr>
        <w:t xml:space="preserve">berücksichtigen. </w:t>
      </w:r>
    </w:p>
    <w:p w:rsidR="00D96637" w:rsidRPr="0004280A" w:rsidRDefault="00D96637" w:rsidP="00AA342F">
      <w:pPr>
        <w:pStyle w:val="Listenabsatz"/>
        <w:numPr>
          <w:ilvl w:val="0"/>
          <w:numId w:val="5"/>
        </w:numPr>
        <w:spacing w:line="360" w:lineRule="auto"/>
        <w:rPr>
          <w:rFonts w:cs="Arial"/>
        </w:rPr>
      </w:pPr>
      <w:r>
        <w:rPr>
          <w:rFonts w:cs="Arial"/>
        </w:rPr>
        <w:t>Anmerkung: Selbst die Zielerreichung für die Stoffe der „alten“ Liste (hauptsächlich Pestizide) bis 2015 ist für NRW nicht gewährleistet.</w:t>
      </w:r>
    </w:p>
    <w:p w:rsidR="00AA342F" w:rsidRDefault="00AA342F" w:rsidP="00AA342F">
      <w:pPr>
        <w:spacing w:line="360" w:lineRule="auto"/>
        <w:rPr>
          <w:rFonts w:cs="Arial"/>
        </w:rPr>
      </w:pPr>
    </w:p>
    <w:p w:rsidR="00AA342F" w:rsidRPr="007514A0" w:rsidRDefault="00AA342F" w:rsidP="00AA342F">
      <w:pPr>
        <w:spacing w:line="360" w:lineRule="auto"/>
        <w:rPr>
          <w:rFonts w:cs="Arial"/>
          <w:b/>
          <w:i/>
        </w:rPr>
      </w:pPr>
      <w:r w:rsidRPr="007514A0">
        <w:rPr>
          <w:rFonts w:cs="Arial"/>
          <w:b/>
          <w:i/>
        </w:rPr>
        <w:t>EU-Regelungen zur Thematik „Pharmazeutika“</w:t>
      </w:r>
    </w:p>
    <w:p w:rsidR="00AA342F" w:rsidRDefault="00AA342F" w:rsidP="00AA342F">
      <w:pPr>
        <w:pStyle w:val="Default"/>
        <w:numPr>
          <w:ilvl w:val="0"/>
          <w:numId w:val="3"/>
        </w:numPr>
        <w:spacing w:line="360" w:lineRule="auto"/>
        <w:rPr>
          <w:rFonts w:ascii="Arial" w:hAnsi="Arial" w:cs="Arial"/>
          <w:sz w:val="22"/>
          <w:szCs w:val="22"/>
        </w:rPr>
      </w:pPr>
      <w:r>
        <w:rPr>
          <w:rFonts w:ascii="Arial" w:hAnsi="Arial" w:cs="Arial"/>
          <w:sz w:val="22"/>
          <w:szCs w:val="22"/>
        </w:rPr>
        <w:t xml:space="preserve">Die Wirkstoffe Diclofenac, </w:t>
      </w:r>
      <w:r w:rsidR="00D96637">
        <w:rPr>
          <w:rFonts w:ascii="Arial" w:hAnsi="Arial" w:cs="Arial"/>
          <w:sz w:val="22"/>
          <w:szCs w:val="22"/>
        </w:rPr>
        <w:t>17-beta-Estradiol und 17-alpha-Ethinyle</w:t>
      </w:r>
      <w:r w:rsidRPr="00414EB8">
        <w:rPr>
          <w:rFonts w:ascii="Arial" w:hAnsi="Arial" w:cs="Arial"/>
          <w:sz w:val="22"/>
          <w:szCs w:val="22"/>
        </w:rPr>
        <w:t>stradiol</w:t>
      </w:r>
      <w:r>
        <w:rPr>
          <w:sz w:val="19"/>
          <w:szCs w:val="19"/>
        </w:rPr>
        <w:t xml:space="preserve"> </w:t>
      </w:r>
      <w:r>
        <w:rPr>
          <w:rFonts w:ascii="Arial" w:hAnsi="Arial" w:cs="Arial"/>
          <w:sz w:val="22"/>
          <w:szCs w:val="22"/>
        </w:rPr>
        <w:t>werden in die erste Beobachtungsliste der EU aufgenommen.</w:t>
      </w:r>
    </w:p>
    <w:p w:rsidR="00AA342F" w:rsidRDefault="00AA342F" w:rsidP="00AA342F">
      <w:pPr>
        <w:pStyle w:val="Default"/>
        <w:numPr>
          <w:ilvl w:val="0"/>
          <w:numId w:val="3"/>
        </w:numPr>
        <w:spacing w:line="360" w:lineRule="auto"/>
        <w:rPr>
          <w:rFonts w:ascii="Arial" w:hAnsi="Arial" w:cs="Arial"/>
          <w:sz w:val="22"/>
          <w:szCs w:val="22"/>
        </w:rPr>
      </w:pPr>
      <w:r>
        <w:rPr>
          <w:rFonts w:ascii="Arial" w:hAnsi="Arial" w:cs="Arial"/>
          <w:sz w:val="22"/>
          <w:szCs w:val="22"/>
        </w:rPr>
        <w:t>Diese Liste mit weiteren Stoffen wird bis zum 14. September 2014 von der EU-Kommission vorgelegt. Sie wird alle 24 Monate aktualisiert.</w:t>
      </w:r>
    </w:p>
    <w:p w:rsidR="00AA342F" w:rsidRDefault="00AA342F" w:rsidP="00AA342F">
      <w:pPr>
        <w:pStyle w:val="Default"/>
        <w:numPr>
          <w:ilvl w:val="0"/>
          <w:numId w:val="3"/>
        </w:numPr>
        <w:spacing w:line="360" w:lineRule="auto"/>
        <w:rPr>
          <w:rFonts w:ascii="Arial" w:hAnsi="Arial" w:cs="Arial"/>
          <w:sz w:val="22"/>
          <w:szCs w:val="22"/>
        </w:rPr>
      </w:pPr>
      <w:r>
        <w:rPr>
          <w:rFonts w:ascii="Arial" w:hAnsi="Arial" w:cs="Arial"/>
          <w:sz w:val="22"/>
          <w:szCs w:val="22"/>
        </w:rPr>
        <w:t>Der Überwachungs</w:t>
      </w:r>
      <w:r w:rsidR="00D96637">
        <w:rPr>
          <w:rFonts w:ascii="Arial" w:hAnsi="Arial" w:cs="Arial"/>
          <w:sz w:val="22"/>
          <w:szCs w:val="22"/>
        </w:rPr>
        <w:t>- und Bewertungsz</w:t>
      </w:r>
      <w:r>
        <w:rPr>
          <w:rFonts w:ascii="Arial" w:hAnsi="Arial" w:cs="Arial"/>
          <w:sz w:val="22"/>
          <w:szCs w:val="22"/>
        </w:rPr>
        <w:t xml:space="preserve">eitraum der Stoffe der Beobachtungsliste beginnt am 14. September 2015. Die </w:t>
      </w:r>
      <w:r w:rsidR="00D96637">
        <w:rPr>
          <w:rFonts w:ascii="Arial" w:hAnsi="Arial" w:cs="Arial"/>
          <w:sz w:val="22"/>
          <w:szCs w:val="22"/>
        </w:rPr>
        <w:t>Monitoring-</w:t>
      </w:r>
      <w:r>
        <w:rPr>
          <w:rFonts w:ascii="Arial" w:hAnsi="Arial" w:cs="Arial"/>
          <w:sz w:val="22"/>
          <w:szCs w:val="22"/>
        </w:rPr>
        <w:t>Ergebnisse der Untersuchungen in den Mitgliedsstaaten sind der EU-Kommission 15 Monate nach Beginn des Überwachungszeitraums zu übermitteln. In diesem Zeitraum sind für den Fall der Aufnahme dieser Substanzen in die Liste prioritärer Stoffe die wissenschaftlichen Grundlagen für die Festlegung der UQN zu erarbeiten.</w:t>
      </w:r>
    </w:p>
    <w:p w:rsidR="00172A5B" w:rsidRDefault="00AA342F" w:rsidP="00AA342F">
      <w:pPr>
        <w:pStyle w:val="Default"/>
        <w:numPr>
          <w:ilvl w:val="0"/>
          <w:numId w:val="3"/>
        </w:numPr>
        <w:spacing w:line="360" w:lineRule="auto"/>
        <w:rPr>
          <w:rFonts w:ascii="Arial" w:hAnsi="Arial" w:cs="Arial"/>
          <w:sz w:val="22"/>
          <w:szCs w:val="22"/>
        </w:rPr>
      </w:pPr>
      <w:r w:rsidRPr="00172A5B">
        <w:rPr>
          <w:rFonts w:ascii="Arial" w:hAnsi="Arial" w:cs="Arial"/>
          <w:sz w:val="22"/>
          <w:szCs w:val="22"/>
        </w:rPr>
        <w:t>Die EU-</w:t>
      </w:r>
      <w:r w:rsidR="00D96637">
        <w:rPr>
          <w:rFonts w:ascii="Arial" w:hAnsi="Arial" w:cs="Arial"/>
          <w:sz w:val="22"/>
          <w:szCs w:val="22"/>
        </w:rPr>
        <w:t xml:space="preserve">Kommission entwickelt - </w:t>
      </w:r>
      <w:r w:rsidRPr="00172A5B">
        <w:rPr>
          <w:rFonts w:ascii="Arial" w:hAnsi="Arial" w:cs="Arial"/>
          <w:sz w:val="22"/>
          <w:szCs w:val="22"/>
        </w:rPr>
        <w:t xml:space="preserve">möglichst innerhalb von zwei Jahren </w:t>
      </w:r>
      <w:r w:rsidR="00D96637">
        <w:rPr>
          <w:rFonts w:ascii="Arial" w:hAnsi="Arial" w:cs="Arial"/>
          <w:sz w:val="22"/>
          <w:szCs w:val="22"/>
        </w:rPr>
        <w:t xml:space="preserve">- </w:t>
      </w:r>
      <w:r w:rsidRPr="00172A5B">
        <w:rPr>
          <w:rFonts w:ascii="Arial" w:hAnsi="Arial" w:cs="Arial"/>
          <w:sz w:val="22"/>
          <w:szCs w:val="22"/>
        </w:rPr>
        <w:t>ab dem 13. September 2013 einen strategischen Ansatz gegen die Verschmutzung von Gewässern durch pharmazeutische Stoffe</w:t>
      </w:r>
      <w:r w:rsidR="00172A5B">
        <w:rPr>
          <w:rFonts w:ascii="Arial" w:hAnsi="Arial" w:cs="Arial"/>
          <w:sz w:val="22"/>
          <w:szCs w:val="22"/>
        </w:rPr>
        <w:t>.</w:t>
      </w:r>
    </w:p>
    <w:p w:rsidR="00934F46" w:rsidRDefault="00AA342F" w:rsidP="00AA342F">
      <w:pPr>
        <w:pStyle w:val="Default"/>
        <w:numPr>
          <w:ilvl w:val="0"/>
          <w:numId w:val="3"/>
        </w:numPr>
        <w:spacing w:line="360" w:lineRule="auto"/>
        <w:rPr>
          <w:rFonts w:ascii="Arial" w:hAnsi="Arial" w:cs="Arial"/>
          <w:sz w:val="22"/>
          <w:szCs w:val="22"/>
        </w:rPr>
      </w:pPr>
      <w:r w:rsidRPr="00172A5B">
        <w:rPr>
          <w:rFonts w:ascii="Arial" w:hAnsi="Arial" w:cs="Arial"/>
          <w:sz w:val="22"/>
          <w:szCs w:val="22"/>
        </w:rPr>
        <w:t>Im Rahmen dieses strategischen Ansatzes schlägt die Kommission gegebenenfalls bis zum 14. September 2017 Maßnahmen vor, die auf Ebene der Union und/oder der Mi</w:t>
      </w:r>
      <w:r w:rsidR="00D96637">
        <w:rPr>
          <w:rFonts w:ascii="Arial" w:hAnsi="Arial" w:cs="Arial"/>
          <w:sz w:val="22"/>
          <w:szCs w:val="22"/>
        </w:rPr>
        <w:t xml:space="preserve">tgliedstaaten zu ergreifen sind. Sie tut dies mit dem Ziel, </w:t>
      </w:r>
      <w:r w:rsidRPr="00172A5B">
        <w:rPr>
          <w:rFonts w:ascii="Arial" w:hAnsi="Arial" w:cs="Arial"/>
          <w:sz w:val="22"/>
          <w:szCs w:val="22"/>
        </w:rPr>
        <w:t>Umweltauswirkungen von pharmazeutische</w:t>
      </w:r>
      <w:r w:rsidR="00D96637">
        <w:rPr>
          <w:rFonts w:ascii="Arial" w:hAnsi="Arial" w:cs="Arial"/>
          <w:sz w:val="22"/>
          <w:szCs w:val="22"/>
        </w:rPr>
        <w:t>n Stoffen anzugehen und</w:t>
      </w:r>
      <w:r w:rsidRPr="00172A5B">
        <w:rPr>
          <w:rFonts w:ascii="Arial" w:hAnsi="Arial" w:cs="Arial"/>
          <w:sz w:val="22"/>
          <w:szCs w:val="22"/>
        </w:rPr>
        <w:t xml:space="preserve"> Einleitungen, Emissionen und Verluste solcher Stoffe in die aquatische Umwelt </w:t>
      </w:r>
      <w:r w:rsidR="00D96637">
        <w:rPr>
          <w:rFonts w:ascii="Arial" w:hAnsi="Arial" w:cs="Arial"/>
          <w:sz w:val="22"/>
          <w:szCs w:val="22"/>
        </w:rPr>
        <w:t xml:space="preserve">zu verringern. Dazu sollen </w:t>
      </w:r>
      <w:r w:rsidRPr="00172A5B">
        <w:rPr>
          <w:rFonts w:ascii="Arial" w:hAnsi="Arial" w:cs="Arial"/>
          <w:sz w:val="22"/>
          <w:szCs w:val="22"/>
        </w:rPr>
        <w:t xml:space="preserve">unter </w:t>
      </w:r>
    </w:p>
    <w:p w:rsidR="00934F46" w:rsidRDefault="00934F46" w:rsidP="00934F46">
      <w:pPr>
        <w:pStyle w:val="Default"/>
        <w:spacing w:line="360" w:lineRule="auto"/>
        <w:ind w:left="720"/>
        <w:rPr>
          <w:rFonts w:ascii="Arial" w:hAnsi="Arial" w:cs="Arial"/>
          <w:sz w:val="22"/>
          <w:szCs w:val="22"/>
        </w:rPr>
      </w:pPr>
    </w:p>
    <w:p w:rsidR="00934F46" w:rsidRDefault="00934F46" w:rsidP="00934F46">
      <w:pPr>
        <w:pStyle w:val="Default"/>
        <w:spacing w:line="360" w:lineRule="auto"/>
        <w:ind w:left="720"/>
        <w:rPr>
          <w:rFonts w:ascii="Arial" w:hAnsi="Arial" w:cs="Arial"/>
          <w:sz w:val="22"/>
          <w:szCs w:val="22"/>
        </w:rPr>
      </w:pPr>
    </w:p>
    <w:p w:rsidR="00934F46" w:rsidRDefault="00934F46" w:rsidP="00934F46">
      <w:pPr>
        <w:pStyle w:val="Default"/>
        <w:spacing w:line="360" w:lineRule="auto"/>
        <w:ind w:left="720"/>
        <w:rPr>
          <w:rFonts w:ascii="Arial" w:hAnsi="Arial" w:cs="Arial"/>
          <w:sz w:val="22"/>
          <w:szCs w:val="22"/>
        </w:rPr>
      </w:pPr>
    </w:p>
    <w:p w:rsidR="00934F46" w:rsidRDefault="00934F46" w:rsidP="00934F46">
      <w:pPr>
        <w:pStyle w:val="Default"/>
        <w:spacing w:line="360" w:lineRule="auto"/>
        <w:ind w:left="720"/>
        <w:rPr>
          <w:rFonts w:ascii="Arial" w:hAnsi="Arial" w:cs="Arial"/>
          <w:sz w:val="22"/>
          <w:szCs w:val="22"/>
        </w:rPr>
      </w:pPr>
    </w:p>
    <w:p w:rsidR="00934F46" w:rsidRDefault="00934F46" w:rsidP="00934F46">
      <w:pPr>
        <w:pStyle w:val="Default"/>
        <w:spacing w:line="360" w:lineRule="auto"/>
        <w:ind w:left="7800"/>
        <w:rPr>
          <w:rFonts w:ascii="Arial" w:hAnsi="Arial" w:cs="Arial"/>
          <w:sz w:val="22"/>
          <w:szCs w:val="22"/>
        </w:rPr>
      </w:pPr>
      <w:r>
        <w:rPr>
          <w:rFonts w:cs="Arial"/>
          <w:i/>
          <w:noProof/>
        </w:rPr>
        <w:drawing>
          <wp:inline distT="0" distB="0" distL="0" distR="0" wp14:anchorId="62945575" wp14:editId="6F9F5F37">
            <wp:extent cx="1064638" cy="400050"/>
            <wp:effectExtent l="0" t="0" r="254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w_logo_3c.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67016" cy="400944"/>
                    </a:xfrm>
                    <a:prstGeom prst="rect">
                      <a:avLst/>
                    </a:prstGeom>
                  </pic:spPr>
                </pic:pic>
              </a:graphicData>
            </a:graphic>
          </wp:inline>
        </w:drawing>
      </w:r>
    </w:p>
    <w:p w:rsidR="00934F46" w:rsidRDefault="00934F46" w:rsidP="00934F46">
      <w:pPr>
        <w:pStyle w:val="Default"/>
        <w:spacing w:line="360" w:lineRule="auto"/>
        <w:rPr>
          <w:rFonts w:ascii="Arial" w:hAnsi="Arial" w:cs="Arial"/>
          <w:sz w:val="22"/>
          <w:szCs w:val="22"/>
        </w:rPr>
      </w:pPr>
    </w:p>
    <w:p w:rsidR="00934F46" w:rsidRDefault="00934F46" w:rsidP="00934F46">
      <w:pPr>
        <w:pStyle w:val="Default"/>
        <w:spacing w:line="360" w:lineRule="auto"/>
        <w:ind w:left="720"/>
        <w:rPr>
          <w:rFonts w:ascii="Arial" w:hAnsi="Arial" w:cs="Arial"/>
          <w:sz w:val="22"/>
          <w:szCs w:val="22"/>
        </w:rPr>
      </w:pPr>
    </w:p>
    <w:p w:rsidR="00AA342F" w:rsidRPr="00934F46" w:rsidRDefault="00AA342F" w:rsidP="00934F46">
      <w:pPr>
        <w:pStyle w:val="Default"/>
        <w:spacing w:line="360" w:lineRule="auto"/>
        <w:ind w:left="720"/>
        <w:rPr>
          <w:rFonts w:ascii="Arial" w:hAnsi="Arial" w:cs="Arial"/>
          <w:sz w:val="22"/>
          <w:szCs w:val="22"/>
        </w:rPr>
      </w:pPr>
      <w:r w:rsidRPr="00934F46">
        <w:rPr>
          <w:rFonts w:ascii="Arial" w:hAnsi="Arial" w:cs="Arial"/>
          <w:sz w:val="22"/>
          <w:szCs w:val="22"/>
        </w:rPr>
        <w:t xml:space="preserve">Berücksichtigung der Erfordernisse der öffentlichen Gesundheit und der Kosteneffizienz Maßnahmen </w:t>
      </w:r>
      <w:r w:rsidR="00D96637" w:rsidRPr="00934F46">
        <w:rPr>
          <w:rFonts w:ascii="Arial" w:hAnsi="Arial" w:cs="Arial"/>
          <w:sz w:val="22"/>
          <w:szCs w:val="22"/>
        </w:rPr>
        <w:t>vorgeschlagen werden</w:t>
      </w:r>
      <w:r w:rsidRPr="00934F46">
        <w:rPr>
          <w:rFonts w:ascii="Arial" w:hAnsi="Arial" w:cs="Arial"/>
          <w:sz w:val="22"/>
          <w:szCs w:val="22"/>
        </w:rPr>
        <w:t>.</w:t>
      </w:r>
    </w:p>
    <w:p w:rsidR="00AA342F" w:rsidRDefault="00AA342F" w:rsidP="00AA342F">
      <w:pPr>
        <w:pStyle w:val="Default"/>
        <w:spacing w:line="360" w:lineRule="auto"/>
        <w:ind w:left="720"/>
        <w:rPr>
          <w:rFonts w:ascii="Arial" w:hAnsi="Arial" w:cs="Arial"/>
          <w:sz w:val="22"/>
          <w:szCs w:val="22"/>
        </w:rPr>
      </w:pPr>
    </w:p>
    <w:p w:rsidR="00AA342F" w:rsidRPr="000F36DA" w:rsidRDefault="00AA342F" w:rsidP="00AA342F">
      <w:pPr>
        <w:pStyle w:val="Default"/>
        <w:spacing w:line="360" w:lineRule="auto"/>
        <w:rPr>
          <w:rFonts w:ascii="Arial" w:hAnsi="Arial" w:cs="Arial"/>
          <w:b/>
          <w:i/>
          <w:sz w:val="22"/>
          <w:szCs w:val="22"/>
        </w:rPr>
      </w:pPr>
      <w:r w:rsidRPr="000F36DA">
        <w:rPr>
          <w:rFonts w:ascii="Arial" w:hAnsi="Arial" w:cs="Arial"/>
          <w:b/>
          <w:i/>
          <w:sz w:val="22"/>
          <w:szCs w:val="22"/>
        </w:rPr>
        <w:t xml:space="preserve">Für die drei Pharmazeutika </w:t>
      </w:r>
      <w:r w:rsidR="00D96637">
        <w:rPr>
          <w:rFonts w:ascii="Arial" w:hAnsi="Arial" w:cs="Arial"/>
          <w:b/>
          <w:i/>
          <w:sz w:val="22"/>
          <w:szCs w:val="22"/>
        </w:rPr>
        <w:t xml:space="preserve">der Beobachtungsliste </w:t>
      </w:r>
      <w:r w:rsidRPr="000F36DA">
        <w:rPr>
          <w:rFonts w:ascii="Arial" w:hAnsi="Arial" w:cs="Arial"/>
          <w:b/>
          <w:i/>
          <w:sz w:val="22"/>
          <w:szCs w:val="22"/>
        </w:rPr>
        <w:t>bedeutet dies:</w:t>
      </w:r>
    </w:p>
    <w:p w:rsidR="00AA342F" w:rsidRDefault="00AA342F" w:rsidP="00934F46">
      <w:pPr>
        <w:pStyle w:val="Default"/>
        <w:numPr>
          <w:ilvl w:val="0"/>
          <w:numId w:val="7"/>
        </w:numPr>
        <w:spacing w:line="360" w:lineRule="auto"/>
        <w:rPr>
          <w:rFonts w:ascii="Arial" w:hAnsi="Arial" w:cs="Arial"/>
          <w:sz w:val="22"/>
          <w:szCs w:val="22"/>
        </w:rPr>
      </w:pPr>
      <w:r>
        <w:rPr>
          <w:rFonts w:ascii="Arial" w:hAnsi="Arial" w:cs="Arial"/>
          <w:sz w:val="22"/>
          <w:szCs w:val="22"/>
        </w:rPr>
        <w:t>Die EU-Kommission wird rund 2 Jahre nach Vorliegen der Ergebnisse des EU-weiten Monitoring und deren wissenschaftlicher Bewertung bis 2017 gegebenenf</w:t>
      </w:r>
      <w:r w:rsidR="000075B8">
        <w:rPr>
          <w:rFonts w:ascii="Arial" w:hAnsi="Arial" w:cs="Arial"/>
          <w:sz w:val="22"/>
          <w:szCs w:val="22"/>
        </w:rPr>
        <w:t>alls UQN</w:t>
      </w:r>
      <w:r>
        <w:rPr>
          <w:rFonts w:ascii="Arial" w:hAnsi="Arial" w:cs="Arial"/>
          <w:sz w:val="22"/>
          <w:szCs w:val="22"/>
        </w:rPr>
        <w:t xml:space="preserve"> festlegen, die EU-weit anzuwenden sind.</w:t>
      </w:r>
    </w:p>
    <w:p w:rsidR="00AA342F" w:rsidRDefault="00AA342F" w:rsidP="00934F46">
      <w:pPr>
        <w:pStyle w:val="Default"/>
        <w:numPr>
          <w:ilvl w:val="0"/>
          <w:numId w:val="7"/>
        </w:numPr>
        <w:spacing w:line="360" w:lineRule="auto"/>
        <w:rPr>
          <w:rFonts w:ascii="Arial" w:hAnsi="Arial" w:cs="Arial"/>
          <w:sz w:val="22"/>
          <w:szCs w:val="22"/>
        </w:rPr>
      </w:pPr>
      <w:r>
        <w:rPr>
          <w:rFonts w:ascii="Arial" w:hAnsi="Arial" w:cs="Arial"/>
          <w:sz w:val="22"/>
          <w:szCs w:val="22"/>
        </w:rPr>
        <w:t>Parallel dazu wird die EU-Kommission ebenfalls bis 2017, wie oben dargestellt, Maßnahmen vorschlagen, die von den Mitgliedsstaaten zu ergreifen sind.</w:t>
      </w:r>
    </w:p>
    <w:p w:rsidR="00AA342F" w:rsidRPr="009A6C9A" w:rsidRDefault="00AA342F" w:rsidP="00934F46">
      <w:pPr>
        <w:pStyle w:val="Default"/>
        <w:numPr>
          <w:ilvl w:val="0"/>
          <w:numId w:val="7"/>
        </w:numPr>
        <w:spacing w:line="360" w:lineRule="auto"/>
        <w:rPr>
          <w:rFonts w:ascii="Arial" w:hAnsi="Arial" w:cs="Arial"/>
          <w:sz w:val="22"/>
          <w:szCs w:val="22"/>
        </w:rPr>
      </w:pPr>
      <w:r>
        <w:rPr>
          <w:rFonts w:ascii="Arial" w:hAnsi="Arial" w:cs="Arial"/>
          <w:sz w:val="22"/>
          <w:szCs w:val="22"/>
        </w:rPr>
        <w:t>Bis wann diese UQN von den Mitgliedstaaten einzuhalten sind, wird in diesem Kontext von Brüssel entschieden.</w:t>
      </w:r>
    </w:p>
    <w:p w:rsidR="00AA342F" w:rsidRPr="0016520C" w:rsidRDefault="00AA342F" w:rsidP="00AA342F">
      <w:pPr>
        <w:pStyle w:val="StandardWeb"/>
        <w:spacing w:before="0" w:beforeAutospacing="0" w:after="0" w:afterAutospacing="0" w:line="280" w:lineRule="atLeast"/>
        <w:ind w:right="22"/>
        <w:rPr>
          <w:rFonts w:ascii="Arial" w:hAnsi="Arial" w:cs="Arial"/>
          <w:sz w:val="22"/>
          <w:szCs w:val="22"/>
        </w:rPr>
      </w:pPr>
    </w:p>
    <w:p w:rsidR="00AA342F" w:rsidRPr="0016520C" w:rsidRDefault="00AA342F" w:rsidP="00AA342F">
      <w:pPr>
        <w:spacing w:line="280" w:lineRule="atLeast"/>
        <w:ind w:right="22"/>
        <w:rPr>
          <w:rFonts w:cs="Arial"/>
        </w:rPr>
      </w:pPr>
    </w:p>
    <w:p w:rsidR="003D0180" w:rsidRDefault="003D0180" w:rsidP="00AA342F">
      <w:pPr>
        <w:pStyle w:val="Listenabsatz"/>
        <w:spacing w:line="360" w:lineRule="auto"/>
      </w:pPr>
    </w:p>
    <w:sectPr w:rsidR="003D0180" w:rsidSect="00AA342F">
      <w:pgSz w:w="11906" w:h="16838"/>
      <w:pgMar w:top="56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taNormal">
    <w:altName w:val="Century Gothic"/>
    <w:charset w:val="00"/>
    <w:family w:val="swiss"/>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4DD0"/>
    <w:multiLevelType w:val="hybridMultilevel"/>
    <w:tmpl w:val="C390E8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9DD0AF6"/>
    <w:multiLevelType w:val="hybridMultilevel"/>
    <w:tmpl w:val="87E25EB4"/>
    <w:lvl w:ilvl="0" w:tplc="04070001">
      <w:start w:val="1"/>
      <w:numFmt w:val="bullet"/>
      <w:lvlText w:val=""/>
      <w:lvlJc w:val="left"/>
      <w:pPr>
        <w:ind w:left="1482" w:hanging="360"/>
      </w:pPr>
      <w:rPr>
        <w:rFonts w:ascii="Symbol" w:hAnsi="Symbol" w:hint="default"/>
      </w:rPr>
    </w:lvl>
    <w:lvl w:ilvl="1" w:tplc="04070003">
      <w:start w:val="1"/>
      <w:numFmt w:val="bullet"/>
      <w:lvlText w:val="o"/>
      <w:lvlJc w:val="left"/>
      <w:pPr>
        <w:ind w:left="2202" w:hanging="360"/>
      </w:pPr>
      <w:rPr>
        <w:rFonts w:ascii="Courier New" w:hAnsi="Courier New" w:cs="Courier New" w:hint="default"/>
      </w:rPr>
    </w:lvl>
    <w:lvl w:ilvl="2" w:tplc="04070005">
      <w:start w:val="1"/>
      <w:numFmt w:val="bullet"/>
      <w:lvlText w:val=""/>
      <w:lvlJc w:val="left"/>
      <w:pPr>
        <w:ind w:left="2922" w:hanging="360"/>
      </w:pPr>
      <w:rPr>
        <w:rFonts w:ascii="Wingdings" w:hAnsi="Wingdings" w:hint="default"/>
      </w:rPr>
    </w:lvl>
    <w:lvl w:ilvl="3" w:tplc="04070001">
      <w:start w:val="1"/>
      <w:numFmt w:val="bullet"/>
      <w:lvlText w:val=""/>
      <w:lvlJc w:val="left"/>
      <w:pPr>
        <w:ind w:left="3642" w:hanging="360"/>
      </w:pPr>
      <w:rPr>
        <w:rFonts w:ascii="Symbol" w:hAnsi="Symbol" w:hint="default"/>
      </w:rPr>
    </w:lvl>
    <w:lvl w:ilvl="4" w:tplc="04070003">
      <w:start w:val="1"/>
      <w:numFmt w:val="bullet"/>
      <w:lvlText w:val="o"/>
      <w:lvlJc w:val="left"/>
      <w:pPr>
        <w:ind w:left="4362" w:hanging="360"/>
      </w:pPr>
      <w:rPr>
        <w:rFonts w:ascii="Courier New" w:hAnsi="Courier New" w:cs="Courier New" w:hint="default"/>
      </w:rPr>
    </w:lvl>
    <w:lvl w:ilvl="5" w:tplc="04070005">
      <w:start w:val="1"/>
      <w:numFmt w:val="bullet"/>
      <w:lvlText w:val=""/>
      <w:lvlJc w:val="left"/>
      <w:pPr>
        <w:ind w:left="5082" w:hanging="360"/>
      </w:pPr>
      <w:rPr>
        <w:rFonts w:ascii="Wingdings" w:hAnsi="Wingdings" w:hint="default"/>
      </w:rPr>
    </w:lvl>
    <w:lvl w:ilvl="6" w:tplc="04070001">
      <w:start w:val="1"/>
      <w:numFmt w:val="bullet"/>
      <w:lvlText w:val=""/>
      <w:lvlJc w:val="left"/>
      <w:pPr>
        <w:ind w:left="5802" w:hanging="360"/>
      </w:pPr>
      <w:rPr>
        <w:rFonts w:ascii="Symbol" w:hAnsi="Symbol" w:hint="default"/>
      </w:rPr>
    </w:lvl>
    <w:lvl w:ilvl="7" w:tplc="04070003">
      <w:start w:val="1"/>
      <w:numFmt w:val="bullet"/>
      <w:lvlText w:val="o"/>
      <w:lvlJc w:val="left"/>
      <w:pPr>
        <w:ind w:left="6522" w:hanging="360"/>
      </w:pPr>
      <w:rPr>
        <w:rFonts w:ascii="Courier New" w:hAnsi="Courier New" w:cs="Courier New" w:hint="default"/>
      </w:rPr>
    </w:lvl>
    <w:lvl w:ilvl="8" w:tplc="04070005">
      <w:start w:val="1"/>
      <w:numFmt w:val="bullet"/>
      <w:lvlText w:val=""/>
      <w:lvlJc w:val="left"/>
      <w:pPr>
        <w:ind w:left="7242" w:hanging="360"/>
      </w:pPr>
      <w:rPr>
        <w:rFonts w:ascii="Wingdings" w:hAnsi="Wingdings" w:hint="default"/>
      </w:rPr>
    </w:lvl>
  </w:abstractNum>
  <w:abstractNum w:abstractNumId="2">
    <w:nsid w:val="3E410077"/>
    <w:multiLevelType w:val="hybridMultilevel"/>
    <w:tmpl w:val="E048DC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A8F567D"/>
    <w:multiLevelType w:val="hybridMultilevel"/>
    <w:tmpl w:val="954C2E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B243E4A"/>
    <w:multiLevelType w:val="hybridMultilevel"/>
    <w:tmpl w:val="7D2EC8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4"/>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DB8"/>
    <w:rsid w:val="000075B8"/>
    <w:rsid w:val="00172A5B"/>
    <w:rsid w:val="003D0180"/>
    <w:rsid w:val="008B7384"/>
    <w:rsid w:val="00934F46"/>
    <w:rsid w:val="00AA342F"/>
    <w:rsid w:val="00AB03AF"/>
    <w:rsid w:val="00CA5983"/>
    <w:rsid w:val="00D96637"/>
    <w:rsid w:val="00E62DB8"/>
    <w:rsid w:val="00FD0A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62DB8"/>
    <w:pPr>
      <w:spacing w:after="0" w:line="240" w:lineRule="auto"/>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E62DB8"/>
    <w:pPr>
      <w:autoSpaceDE w:val="0"/>
      <w:autoSpaceDN w:val="0"/>
      <w:adjustRightInd w:val="0"/>
      <w:spacing w:after="0" w:line="240" w:lineRule="auto"/>
    </w:pPr>
    <w:rPr>
      <w:rFonts w:ascii="EUAlbertina" w:eastAsia="Times New Roman" w:hAnsi="EUAlbertina" w:cs="EUAlbertina"/>
      <w:color w:val="000000"/>
      <w:sz w:val="24"/>
      <w:szCs w:val="24"/>
      <w:lang w:eastAsia="de-DE"/>
    </w:rPr>
  </w:style>
  <w:style w:type="paragraph" w:styleId="Sprechblasentext">
    <w:name w:val="Balloon Text"/>
    <w:basedOn w:val="Standard"/>
    <w:link w:val="SprechblasentextZchn"/>
    <w:uiPriority w:val="99"/>
    <w:semiHidden/>
    <w:unhideWhenUsed/>
    <w:rsid w:val="00E62DB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62DB8"/>
    <w:rPr>
      <w:rFonts w:ascii="Tahoma" w:eastAsia="Times New Roman" w:hAnsi="Tahoma" w:cs="Tahoma"/>
      <w:sz w:val="16"/>
      <w:szCs w:val="16"/>
      <w:lang w:eastAsia="de-DE"/>
    </w:rPr>
  </w:style>
  <w:style w:type="paragraph" w:styleId="Listenabsatz">
    <w:name w:val="List Paragraph"/>
    <w:basedOn w:val="Standard"/>
    <w:uiPriority w:val="34"/>
    <w:qFormat/>
    <w:rsid w:val="00AA342F"/>
    <w:pPr>
      <w:ind w:left="720"/>
      <w:contextualSpacing/>
    </w:pPr>
  </w:style>
  <w:style w:type="paragraph" w:styleId="StandardWeb">
    <w:name w:val="Normal (Web)"/>
    <w:basedOn w:val="Standard"/>
    <w:rsid w:val="00AA342F"/>
    <w:pPr>
      <w:spacing w:before="100" w:beforeAutospacing="1" w:after="100" w:afterAutospacing="1"/>
    </w:pPr>
    <w:rPr>
      <w:rFonts w:ascii="MetaNormal" w:hAnsi="MetaNorm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62DB8"/>
    <w:pPr>
      <w:spacing w:after="0" w:line="240" w:lineRule="auto"/>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E62DB8"/>
    <w:pPr>
      <w:autoSpaceDE w:val="0"/>
      <w:autoSpaceDN w:val="0"/>
      <w:adjustRightInd w:val="0"/>
      <w:spacing w:after="0" w:line="240" w:lineRule="auto"/>
    </w:pPr>
    <w:rPr>
      <w:rFonts w:ascii="EUAlbertina" w:eastAsia="Times New Roman" w:hAnsi="EUAlbertina" w:cs="EUAlbertina"/>
      <w:color w:val="000000"/>
      <w:sz w:val="24"/>
      <w:szCs w:val="24"/>
      <w:lang w:eastAsia="de-DE"/>
    </w:rPr>
  </w:style>
  <w:style w:type="paragraph" w:styleId="Sprechblasentext">
    <w:name w:val="Balloon Text"/>
    <w:basedOn w:val="Standard"/>
    <w:link w:val="SprechblasentextZchn"/>
    <w:uiPriority w:val="99"/>
    <w:semiHidden/>
    <w:unhideWhenUsed/>
    <w:rsid w:val="00E62DB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62DB8"/>
    <w:rPr>
      <w:rFonts w:ascii="Tahoma" w:eastAsia="Times New Roman" w:hAnsi="Tahoma" w:cs="Tahoma"/>
      <w:sz w:val="16"/>
      <w:szCs w:val="16"/>
      <w:lang w:eastAsia="de-DE"/>
    </w:rPr>
  </w:style>
  <w:style w:type="paragraph" w:styleId="Listenabsatz">
    <w:name w:val="List Paragraph"/>
    <w:basedOn w:val="Standard"/>
    <w:uiPriority w:val="34"/>
    <w:qFormat/>
    <w:rsid w:val="00AA342F"/>
    <w:pPr>
      <w:ind w:left="720"/>
      <w:contextualSpacing/>
    </w:pPr>
  </w:style>
  <w:style w:type="paragraph" w:styleId="StandardWeb">
    <w:name w:val="Normal (Web)"/>
    <w:basedOn w:val="Standard"/>
    <w:rsid w:val="00AA342F"/>
    <w:pPr>
      <w:spacing w:before="100" w:beforeAutospacing="1" w:after="100" w:afterAutospacing="1"/>
    </w:pPr>
    <w:rPr>
      <w:rFonts w:ascii="MetaNormal" w:hAnsi="MetaNorm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84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2330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Erftverband</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Schäfer-Sack Jennifer</dc:creator>
  <cp:lastModifiedBy>Oehmichen, Dr. Ulrich</cp:lastModifiedBy>
  <cp:revision>2</cp:revision>
  <dcterms:created xsi:type="dcterms:W3CDTF">2014-07-16T12:18:00Z</dcterms:created>
  <dcterms:modified xsi:type="dcterms:W3CDTF">2014-07-16T12:18:00Z</dcterms:modified>
</cp:coreProperties>
</file>