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EAAF" w14:textId="5C39D72B" w:rsidR="003A1DEC" w:rsidRDefault="00CE42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Anlage 1: Gliederung des Berichtes über die Einfahr- und Optimierungsphase von 4. Reinigungsstufen</w:t>
      </w:r>
    </w:p>
    <w:p w14:paraId="41252B98" w14:textId="77777777" w:rsidR="003A1DEC" w:rsidRDefault="003A1DEC">
      <w:pPr>
        <w:rPr>
          <w:rFonts w:ascii="Arial" w:hAnsi="Arial" w:cs="Arial"/>
          <w:b/>
          <w:bCs/>
          <w:sz w:val="24"/>
          <w:szCs w:val="24"/>
        </w:rPr>
      </w:pPr>
    </w:p>
    <w:p w14:paraId="4A062EE6" w14:textId="77777777" w:rsidR="003A1DEC" w:rsidRDefault="00CE42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Hintergrund:</w:t>
      </w:r>
    </w:p>
    <w:p w14:paraId="6A420EBC" w14:textId="0467F458" w:rsidR="003A1DEC" w:rsidRDefault="00CE42C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Nach der Inbetriebnahme einer </w:t>
      </w:r>
      <w:r w:rsidR="00576288">
        <w:rPr>
          <w:rFonts w:ascii="Arial" w:hAnsi="Arial" w:cs="Arial"/>
          <w:bCs/>
          <w:sz w:val="24"/>
          <w:szCs w:val="24"/>
        </w:rPr>
        <w:t>Verfahrensstufe zur Mikroschadstoffreduktion (</w:t>
      </w:r>
      <w:r>
        <w:rPr>
          <w:rFonts w:ascii="Arial" w:hAnsi="Arial" w:cs="Arial"/>
          <w:bCs/>
          <w:sz w:val="24"/>
          <w:szCs w:val="24"/>
        </w:rPr>
        <w:t>4. Reinigungsstufe</w:t>
      </w:r>
      <w:r w:rsidR="00576288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auf einer Kläranlage ist der zuständigen Behörde </w:t>
      </w:r>
      <w:r w:rsidR="00A566AB">
        <w:rPr>
          <w:rFonts w:ascii="Arial" w:hAnsi="Arial" w:cs="Arial"/>
          <w:bCs/>
          <w:sz w:val="24"/>
          <w:szCs w:val="24"/>
        </w:rPr>
        <w:t xml:space="preserve">durch den Betreibenden </w:t>
      </w:r>
      <w:r>
        <w:rPr>
          <w:rFonts w:ascii="Arial" w:hAnsi="Arial" w:cs="Arial"/>
          <w:bCs/>
          <w:sz w:val="24"/>
          <w:szCs w:val="24"/>
        </w:rPr>
        <w:t>ein Bericht über die Einfahr- und Optimierungsphase vorzulegen (LANUK, 2025). Die hier vorgeschlagene Gliederung sowie die möglichen Inhalte dienen der Orientierung für Betreibe</w:t>
      </w:r>
      <w:r w:rsidR="00A566AB">
        <w:rPr>
          <w:rFonts w:ascii="Arial" w:hAnsi="Arial" w:cs="Arial"/>
          <w:bCs/>
          <w:sz w:val="24"/>
          <w:szCs w:val="24"/>
        </w:rPr>
        <w:t>nde</w:t>
      </w:r>
      <w:r>
        <w:rPr>
          <w:rFonts w:ascii="Arial" w:hAnsi="Arial" w:cs="Arial"/>
          <w:bCs/>
          <w:sz w:val="24"/>
          <w:szCs w:val="24"/>
        </w:rPr>
        <w:t xml:space="preserve"> sowie der Vereinheitlichung und Übersichtlichkeit der Berichte für die zuständigen Behörden. Eine Orientierung an die vorgeschlagene Gliederung ist wünschenswert. Anpassungen an die spezifischen Gegebenheiten sind möglich.</w:t>
      </w:r>
    </w:p>
    <w:p w14:paraId="033C32B1" w14:textId="77777777" w:rsidR="003A1DEC" w:rsidRDefault="003A1DEC">
      <w:pPr>
        <w:jc w:val="both"/>
        <w:rPr>
          <w:rFonts w:ascii="Arial" w:hAnsi="Arial" w:cs="Arial"/>
          <w:bCs/>
          <w:sz w:val="24"/>
          <w:szCs w:val="24"/>
        </w:rPr>
      </w:pPr>
    </w:p>
    <w:p w14:paraId="37717576" w14:textId="77777777" w:rsidR="003A1DEC" w:rsidRDefault="00CE42C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Titel:</w:t>
      </w:r>
    </w:p>
    <w:p w14:paraId="16B3FC73" w14:textId="77777777" w:rsidR="003A1DEC" w:rsidRDefault="00CE42C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Bericht über die Einfahr- und Optimierungsphase der 4. Reinigungsstufe auf der Kläranlage [</w:t>
      </w:r>
      <w:r>
        <w:rPr>
          <w:rFonts w:ascii="Arial" w:hAnsi="Arial" w:cs="Arial"/>
          <w:bCs/>
          <w:i/>
          <w:sz w:val="24"/>
          <w:szCs w:val="24"/>
        </w:rPr>
        <w:t>Name]</w:t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10360115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E88453" w14:textId="77777777" w:rsidR="003A1DEC" w:rsidRDefault="00CE42C4">
          <w:pPr>
            <w:pStyle w:val="Inhaltsverzeichnisberschrift"/>
            <w:numPr>
              <w:ilvl w:val="0"/>
              <w:numId w:val="0"/>
            </w:numPr>
            <w:ind w:left="357" w:hanging="357"/>
            <w:rPr>
              <w:rFonts w:ascii="Arial" w:hAnsi="Arial" w:cs="Arial"/>
              <w:color w:val="auto"/>
              <w:sz w:val="24"/>
              <w:szCs w:val="24"/>
            </w:rPr>
          </w:pPr>
          <w:r>
            <w:rPr>
              <w:rFonts w:ascii="Arial" w:hAnsi="Arial" w:cs="Arial"/>
              <w:color w:val="auto"/>
              <w:sz w:val="24"/>
              <w:szCs w:val="24"/>
            </w:rPr>
            <w:t>Inhalt</w:t>
          </w:r>
        </w:p>
        <w:p w14:paraId="20290EA4" w14:textId="77777777" w:rsidR="003A1DEC" w:rsidRDefault="00CE42C4">
          <w:pPr>
            <w:pStyle w:val="Verzeichnis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lang w:eastAsia="de-DE"/>
            </w:rPr>
          </w:pPr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02256154" w:history="1">
            <w:r>
              <w:rPr>
                <w:rStyle w:val="Hyperlink"/>
                <w:rFonts w:ascii="Arial" w:hAnsi="Arial" w:cs="Arial"/>
                <w:noProof/>
                <w:sz w:val="24"/>
              </w:rPr>
              <w:t>1</w:t>
            </w:r>
            <w:r>
              <w:rPr>
                <w:rFonts w:ascii="Arial" w:eastAsiaTheme="minorEastAsia" w:hAnsi="Arial" w:cs="Arial"/>
                <w:noProof/>
                <w:sz w:val="24"/>
                <w:lang w:eastAsia="de-DE"/>
              </w:rPr>
              <w:tab/>
            </w:r>
            <w:r>
              <w:rPr>
                <w:rStyle w:val="Hyperlink"/>
                <w:rFonts w:ascii="Arial" w:hAnsi="Arial" w:cs="Arial"/>
                <w:noProof/>
                <w:sz w:val="24"/>
              </w:rPr>
              <w:t>Anlagendaten</w:t>
            </w:r>
            <w:r>
              <w:rPr>
                <w:rFonts w:ascii="Arial" w:hAnsi="Arial" w:cs="Arial"/>
                <w:noProof/>
                <w:webHidden/>
                <w:sz w:val="24"/>
              </w:rPr>
              <w:tab/>
            </w:r>
            <w:r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>
              <w:rPr>
                <w:rFonts w:ascii="Arial" w:hAnsi="Arial" w:cs="Arial"/>
                <w:noProof/>
                <w:webHidden/>
                <w:sz w:val="24"/>
              </w:rPr>
              <w:instrText xml:space="preserve"> PAGEREF _Toc202256154 \h </w:instrText>
            </w:r>
            <w:r>
              <w:rPr>
                <w:rFonts w:ascii="Arial" w:hAnsi="Arial" w:cs="Arial"/>
                <w:noProof/>
                <w:webHidden/>
                <w:sz w:val="24"/>
              </w:rPr>
            </w:r>
            <w:r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4"/>
              </w:rPr>
              <w:t>1</w:t>
            </w:r>
            <w:r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62235CAD" w14:textId="77777777" w:rsidR="003A1DEC" w:rsidRDefault="00576288">
          <w:pPr>
            <w:pStyle w:val="Verzeichnis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lang w:eastAsia="de-DE"/>
            </w:rPr>
          </w:pPr>
          <w:hyperlink w:anchor="_Toc202256155" w:history="1">
            <w:r w:rsidR="00CE42C4">
              <w:rPr>
                <w:rStyle w:val="Hyperlink"/>
                <w:rFonts w:ascii="Arial" w:hAnsi="Arial" w:cs="Arial"/>
                <w:noProof/>
                <w:sz w:val="24"/>
              </w:rPr>
              <w:t>2</w:t>
            </w:r>
            <w:r w:rsidR="00CE42C4">
              <w:rPr>
                <w:rFonts w:ascii="Arial" w:eastAsiaTheme="minorEastAsia" w:hAnsi="Arial" w:cs="Arial"/>
                <w:noProof/>
                <w:sz w:val="24"/>
                <w:lang w:eastAsia="de-DE"/>
              </w:rPr>
              <w:tab/>
            </w:r>
            <w:r w:rsidR="00CE42C4">
              <w:rPr>
                <w:rStyle w:val="Hyperlink"/>
                <w:rFonts w:ascii="Arial" w:hAnsi="Arial" w:cs="Arial"/>
                <w:noProof/>
                <w:sz w:val="24"/>
              </w:rPr>
              <w:t>Ziele und Vorgehen bei den Untersuchungen zur Einfahr- und Monitoringphase</w: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instrText xml:space="preserve"> PAGEREF _Toc202256155 \h </w:instrTex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t>1</w: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01A75469" w14:textId="77777777" w:rsidR="003A1DEC" w:rsidRDefault="00576288">
          <w:pPr>
            <w:pStyle w:val="Verzeichnis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lang w:eastAsia="de-DE"/>
            </w:rPr>
          </w:pPr>
          <w:hyperlink w:anchor="_Toc202256156" w:history="1">
            <w:r w:rsidR="00CE42C4">
              <w:rPr>
                <w:rStyle w:val="Hyperlink"/>
                <w:rFonts w:ascii="Arial" w:hAnsi="Arial" w:cs="Arial"/>
                <w:noProof/>
                <w:sz w:val="24"/>
              </w:rPr>
              <w:t>3</w:t>
            </w:r>
            <w:r w:rsidR="00CE42C4">
              <w:rPr>
                <w:rFonts w:ascii="Arial" w:eastAsiaTheme="minorEastAsia" w:hAnsi="Arial" w:cs="Arial"/>
                <w:noProof/>
                <w:sz w:val="24"/>
                <w:lang w:eastAsia="de-DE"/>
              </w:rPr>
              <w:tab/>
            </w:r>
            <w:r w:rsidR="00CE42C4">
              <w:rPr>
                <w:rStyle w:val="Hyperlink"/>
                <w:rFonts w:ascii="Arial" w:hAnsi="Arial" w:cs="Arial"/>
                <w:noProof/>
                <w:sz w:val="24"/>
              </w:rPr>
              <w:t>Ergebnisse der Einfahr- und Monitoringphase</w: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instrText xml:space="preserve"> PAGEREF _Toc202256156 \h </w:instrTex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0B5DE16B" w14:textId="77777777" w:rsidR="003A1DEC" w:rsidRDefault="00576288">
          <w:pPr>
            <w:pStyle w:val="Verzeichnis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lang w:eastAsia="de-DE"/>
            </w:rPr>
          </w:pPr>
          <w:hyperlink w:anchor="_Toc202256157" w:history="1">
            <w:r w:rsidR="00CE42C4">
              <w:rPr>
                <w:rStyle w:val="Hyperlink"/>
                <w:rFonts w:ascii="Arial" w:hAnsi="Arial" w:cs="Arial"/>
                <w:noProof/>
                <w:sz w:val="24"/>
              </w:rPr>
              <w:t>4</w:t>
            </w:r>
            <w:r w:rsidR="00CE42C4">
              <w:rPr>
                <w:rFonts w:ascii="Arial" w:eastAsiaTheme="minorEastAsia" w:hAnsi="Arial" w:cs="Arial"/>
                <w:noProof/>
                <w:sz w:val="24"/>
                <w:lang w:eastAsia="de-DE"/>
              </w:rPr>
              <w:tab/>
            </w:r>
            <w:r w:rsidR="00CE42C4">
              <w:rPr>
                <w:rStyle w:val="Hyperlink"/>
                <w:rFonts w:ascii="Arial" w:hAnsi="Arial" w:cs="Arial"/>
                <w:noProof/>
                <w:sz w:val="24"/>
              </w:rPr>
              <w:t>Vorgehen im weiteren Anlagenbetrieb</w: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instrText xml:space="preserve"> PAGEREF _Toc202256157 \h </w:instrTex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2B9D6BDD" w14:textId="77777777" w:rsidR="003A1DEC" w:rsidRDefault="00576288">
          <w:pPr>
            <w:pStyle w:val="Verzeichnis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02256158" w:history="1">
            <w:r w:rsidR="00CE42C4">
              <w:rPr>
                <w:rStyle w:val="Hyperlink"/>
                <w:rFonts w:ascii="Arial" w:hAnsi="Arial" w:cs="Arial"/>
                <w:noProof/>
                <w:sz w:val="24"/>
              </w:rPr>
              <w:t>5</w:t>
            </w:r>
            <w:r w:rsidR="00CE42C4">
              <w:rPr>
                <w:rFonts w:ascii="Arial" w:eastAsiaTheme="minorEastAsia" w:hAnsi="Arial" w:cs="Arial"/>
                <w:noProof/>
                <w:sz w:val="24"/>
                <w:lang w:eastAsia="de-DE"/>
              </w:rPr>
              <w:tab/>
            </w:r>
            <w:r w:rsidR="00CE42C4">
              <w:rPr>
                <w:rStyle w:val="Hyperlink"/>
                <w:rFonts w:ascii="Arial" w:hAnsi="Arial" w:cs="Arial"/>
                <w:noProof/>
                <w:sz w:val="24"/>
              </w:rPr>
              <w:t>Ggf. Empfehlungen für weitere Optimierungen und weitere Anmerkungen</w: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tab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begin"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instrText xml:space="preserve"> PAGEREF _Toc202256158 \h </w:instrTex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separate"/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t>2</w:t>
            </w:r>
            <w:r w:rsidR="00CE42C4">
              <w:rPr>
                <w:rFonts w:ascii="Arial" w:hAnsi="Arial" w:cs="Arial"/>
                <w:noProof/>
                <w:webHidden/>
                <w:sz w:val="24"/>
              </w:rPr>
              <w:fldChar w:fldCharType="end"/>
            </w:r>
          </w:hyperlink>
        </w:p>
        <w:p w14:paraId="513FBFC9" w14:textId="77777777" w:rsidR="003A1DEC" w:rsidRDefault="00CE42C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15AD5096" w14:textId="77777777" w:rsidR="003A1DEC" w:rsidRDefault="003A1DEC">
      <w:pPr>
        <w:rPr>
          <w:rFonts w:ascii="Arial" w:hAnsi="Arial" w:cs="Arial"/>
          <w:b/>
          <w:bCs/>
          <w:sz w:val="24"/>
          <w:szCs w:val="24"/>
        </w:rPr>
      </w:pPr>
    </w:p>
    <w:p w14:paraId="34F93C19" w14:textId="77777777" w:rsidR="003A1DEC" w:rsidRDefault="00CE42C4">
      <w:pPr>
        <w:pStyle w:val="berschrift1"/>
        <w:rPr>
          <w:rFonts w:cs="Arial"/>
        </w:rPr>
      </w:pPr>
      <w:bookmarkStart w:id="0" w:name="_Toc202256154"/>
      <w:r>
        <w:rPr>
          <w:rFonts w:cs="Arial"/>
        </w:rPr>
        <w:t>Anlagendaten</w:t>
      </w:r>
      <w:bookmarkEnd w:id="0"/>
    </w:p>
    <w:p w14:paraId="588347FF" w14:textId="77777777" w:rsidR="003A1DEC" w:rsidRDefault="00CE42C4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Grobbeschreibung der Kläranlage mit relevanten Verfahrensstufen</w:t>
      </w:r>
    </w:p>
    <w:p w14:paraId="3F6DF554" w14:textId="77777777" w:rsidR="003A1DEC" w:rsidRDefault="00CE42C4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Beschreibung der 4. Reinigungsstufe </w:t>
      </w:r>
    </w:p>
    <w:p w14:paraId="78695C5F" w14:textId="77777777" w:rsidR="003A1DEC" w:rsidRDefault="00CE42C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Verfahrensschritte</w:t>
      </w:r>
    </w:p>
    <w:p w14:paraId="7D09A5F0" w14:textId="77777777" w:rsidR="003A1DEC" w:rsidRDefault="00CE42C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Auslegungswassermenge</w:t>
      </w:r>
    </w:p>
    <w:p w14:paraId="762FEB16" w14:textId="77777777" w:rsidR="003A1DEC" w:rsidRDefault="00CE42C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Messungen</w:t>
      </w:r>
    </w:p>
    <w:p w14:paraId="275A916C" w14:textId="77777777" w:rsidR="003A1DEC" w:rsidRDefault="00CE42C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Beschreibung der Regelung und Steuerung</w:t>
      </w:r>
    </w:p>
    <w:p w14:paraId="58899B66" w14:textId="77777777" w:rsidR="003A1DEC" w:rsidRDefault="003A1DEC">
      <w:pPr>
        <w:rPr>
          <w:rFonts w:ascii="Arial" w:hAnsi="Arial" w:cs="Arial"/>
        </w:rPr>
      </w:pPr>
    </w:p>
    <w:p w14:paraId="321B769E" w14:textId="77777777" w:rsidR="003A1DEC" w:rsidRDefault="00CE42C4">
      <w:pPr>
        <w:pStyle w:val="berschrift1"/>
        <w:rPr>
          <w:rFonts w:cs="Arial"/>
        </w:rPr>
      </w:pPr>
      <w:bookmarkStart w:id="1" w:name="_Toc202256155"/>
      <w:r>
        <w:rPr>
          <w:rFonts w:cs="Arial"/>
        </w:rPr>
        <w:t>Ziele und Vorgehen bei den Untersuchungen zur Einfahr- und Monitoringphase</w:t>
      </w:r>
      <w:bookmarkEnd w:id="1"/>
    </w:p>
    <w:p w14:paraId="62A247B7" w14:textId="77777777" w:rsidR="003A1DEC" w:rsidRDefault="00CE42C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Beschreibung der Mikroschadstoffmessung (Parameter, Verfahren, Messunsicherheit, Bestimmungsgrenzen; Art und Orte der Mischproben, weitere Erläuterungen zur Probenahme und zur Berechnung der Reduktionsleistung)</w:t>
      </w:r>
    </w:p>
    <w:p w14:paraId="06A619CA" w14:textId="77777777" w:rsidR="003A1DEC" w:rsidRDefault="00CE42C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Beschreibung der Messung weiterer Parameter (Standard- und weitere (Steuer-) Parameter, Ort, Verfahren (Sonde, Labor, …)</w:t>
      </w:r>
    </w:p>
    <w:p w14:paraId="2D3819D9" w14:textId="46D8F377" w:rsidR="003A1DEC" w:rsidRDefault="00CE42C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Zusätzliche Ziele und Untersuchungen der Einfahr- und Monitoringphase (z.B. Spül- und Reinigungsintervalle, Dosierung Ozon, Dosierung PAK, Fällmittel oder andere Betriebsstoffe)</w:t>
      </w:r>
    </w:p>
    <w:p w14:paraId="5C446DE6" w14:textId="77777777" w:rsidR="003A1DEC" w:rsidRDefault="003A1DEC">
      <w:pPr>
        <w:rPr>
          <w:rFonts w:ascii="Arial" w:hAnsi="Arial" w:cs="Arial"/>
        </w:rPr>
      </w:pPr>
    </w:p>
    <w:p w14:paraId="4839091D" w14:textId="77777777" w:rsidR="003A1DEC" w:rsidRDefault="00CE42C4">
      <w:pPr>
        <w:pStyle w:val="berschrift1"/>
        <w:rPr>
          <w:rFonts w:cs="Arial"/>
        </w:rPr>
      </w:pPr>
      <w:bookmarkStart w:id="2" w:name="_Toc202256156"/>
      <w:r>
        <w:rPr>
          <w:rFonts w:cs="Arial"/>
        </w:rPr>
        <w:t>Ergebnisse der Einfahr- und Monitoringphase</w:t>
      </w:r>
      <w:bookmarkEnd w:id="2"/>
    </w:p>
    <w:p w14:paraId="4F1F8157" w14:textId="0C00E836" w:rsidR="003A1DEC" w:rsidRDefault="00CE42C4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Anpassungen der Betriebseinstellungen und ggf. von weiteren der o.g. Punkte</w:t>
      </w:r>
    </w:p>
    <w:p w14:paraId="06B1BE5A" w14:textId="77777777" w:rsidR="003A1DEC" w:rsidRDefault="00CE42C4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Anpassungen der Anlagensteuerung</w:t>
      </w:r>
    </w:p>
    <w:p w14:paraId="6BE02AB4" w14:textId="77777777" w:rsidR="003A1DEC" w:rsidRDefault="00CE42C4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Ggf. bauliche oder maschinentechnische Anpassungen</w:t>
      </w:r>
    </w:p>
    <w:p w14:paraId="11D33B72" w14:textId="77777777" w:rsidR="003A1DEC" w:rsidRDefault="00CE42C4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Ergebnisse der Nachweise der Mikroschadstoffreduktion (Einzelparameter, Gesamtreduktionsleistung, Mengennachweis)</w:t>
      </w:r>
    </w:p>
    <w:p w14:paraId="6F9C4839" w14:textId="77777777" w:rsidR="003A1DEC" w:rsidRDefault="00CE42C4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Ergebnisse des Monitorings weiterer Parameter</w:t>
      </w:r>
    </w:p>
    <w:p w14:paraId="598B9B4E" w14:textId="77777777" w:rsidR="003A1DEC" w:rsidRDefault="003A1DEC">
      <w:pPr>
        <w:rPr>
          <w:rFonts w:ascii="Arial" w:hAnsi="Arial" w:cs="Arial"/>
        </w:rPr>
      </w:pPr>
    </w:p>
    <w:p w14:paraId="5BD1EF0D" w14:textId="77777777" w:rsidR="003A1DEC" w:rsidRDefault="00CE42C4">
      <w:pPr>
        <w:pStyle w:val="berschrift1"/>
        <w:rPr>
          <w:rFonts w:cs="Arial"/>
        </w:rPr>
      </w:pPr>
      <w:bookmarkStart w:id="3" w:name="_Toc202256157"/>
      <w:r>
        <w:rPr>
          <w:rFonts w:cs="Arial"/>
        </w:rPr>
        <w:t>Vorgehen im weiteren Anlagenbetrieb</w:t>
      </w:r>
      <w:bookmarkEnd w:id="3"/>
    </w:p>
    <w:p w14:paraId="1FCCBF42" w14:textId="4E9FFF9C" w:rsidR="003A1DEC" w:rsidRDefault="00CE42C4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Dosierung von Betriebsstoffen, Filtermanagement, Spüleinstellungen, Tausch von Aktivkohle oder Filtermaterialien</w:t>
      </w:r>
    </w:p>
    <w:p w14:paraId="0CD21248" w14:textId="77777777" w:rsidR="003A1DEC" w:rsidRDefault="003A1DEC">
      <w:pPr>
        <w:rPr>
          <w:rFonts w:ascii="Arial" w:hAnsi="Arial" w:cs="Arial"/>
        </w:rPr>
      </w:pPr>
    </w:p>
    <w:p w14:paraId="72141CAF" w14:textId="77777777" w:rsidR="003A1DEC" w:rsidRDefault="00CE42C4">
      <w:pPr>
        <w:pStyle w:val="berschrift1"/>
        <w:rPr>
          <w:rFonts w:cs="Arial"/>
        </w:rPr>
      </w:pPr>
      <w:bookmarkStart w:id="4" w:name="_Toc202256158"/>
      <w:r>
        <w:rPr>
          <w:rFonts w:cs="Arial"/>
        </w:rPr>
        <w:t>Ggf. Empfehlungen für weitere Optimierungen und weitere Anmerkungen</w:t>
      </w:r>
      <w:bookmarkEnd w:id="4"/>
    </w:p>
    <w:p w14:paraId="089D5F30" w14:textId="77777777" w:rsidR="003A1DEC" w:rsidRDefault="00CE42C4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Untersuchung weiterer Parameter oder zu weiteren Anpassungen</w:t>
      </w:r>
    </w:p>
    <w:p w14:paraId="1859606C" w14:textId="77777777" w:rsidR="003A1DEC" w:rsidRDefault="00CE42C4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Weitere Anmerkungen</w:t>
      </w:r>
    </w:p>
    <w:p w14:paraId="37D4DA9D" w14:textId="77777777" w:rsidR="003A1DEC" w:rsidRDefault="003A1DEC">
      <w:pPr>
        <w:rPr>
          <w:rFonts w:ascii="Arial" w:hAnsi="Arial" w:cs="Arial"/>
        </w:rPr>
      </w:pPr>
    </w:p>
    <w:p w14:paraId="7BD38888" w14:textId="77777777" w:rsidR="003A1DEC" w:rsidRDefault="003A1DEC">
      <w:pPr>
        <w:rPr>
          <w:rFonts w:ascii="Arial" w:hAnsi="Arial" w:cs="Arial"/>
        </w:rPr>
      </w:pPr>
    </w:p>
    <w:p w14:paraId="7D29BEE4" w14:textId="77777777" w:rsidR="003A1DEC" w:rsidRDefault="00CE42C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Literatur:</w:t>
      </w:r>
    </w:p>
    <w:p w14:paraId="458D29D6" w14:textId="18134C84" w:rsidR="003A1DEC" w:rsidRDefault="00CE42C4">
      <w:pPr>
        <w:rPr>
          <w:rFonts w:ascii="Arial" w:hAnsi="Arial" w:cs="Arial"/>
        </w:rPr>
      </w:pPr>
      <w:r>
        <w:rPr>
          <w:rFonts w:ascii="Arial" w:hAnsi="Arial" w:cs="Arial"/>
        </w:rPr>
        <w:t>LANUK (2025): Mikroschadstoffreduktion auf Kläranlagen in NRW: Grundlagen für Planung, Betrieb und Überwachung</w:t>
      </w:r>
      <w:r w:rsidR="00576288">
        <w:rPr>
          <w:rFonts w:ascii="Arial" w:hAnsi="Arial" w:cs="Arial"/>
        </w:rPr>
        <w:t>. Fachbericht (</w:t>
      </w:r>
      <w:r>
        <w:rPr>
          <w:rFonts w:ascii="Arial" w:hAnsi="Arial" w:cs="Arial"/>
        </w:rPr>
        <w:t>Entwurf</w:t>
      </w:r>
      <w:r w:rsidR="00576288">
        <w:rPr>
          <w:rFonts w:ascii="Arial" w:hAnsi="Arial" w:cs="Arial"/>
        </w:rPr>
        <w:t xml:space="preserve"> mit </w:t>
      </w:r>
      <w:r>
        <w:rPr>
          <w:rFonts w:ascii="Arial" w:hAnsi="Arial" w:cs="Arial"/>
        </w:rPr>
        <w:t xml:space="preserve">Stand </w:t>
      </w:r>
      <w:r w:rsidR="002D0923">
        <w:rPr>
          <w:rFonts w:ascii="Arial" w:hAnsi="Arial" w:cs="Arial"/>
        </w:rPr>
        <w:t>November 2025).</w:t>
      </w:r>
    </w:p>
    <w:sectPr w:rsidR="003A1DEC">
      <w:headerReference w:type="default" r:id="rId8"/>
      <w:footerReference w:type="default" r:id="rId9"/>
      <w:pgSz w:w="11906" w:h="16838"/>
      <w:pgMar w:top="1417" w:right="1417" w:bottom="1134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AEA6" w14:textId="77777777" w:rsidR="003A1DEC" w:rsidRDefault="00CE42C4">
      <w:pPr>
        <w:spacing w:after="0" w:line="240" w:lineRule="auto"/>
      </w:pPr>
      <w:r>
        <w:separator/>
      </w:r>
    </w:p>
  </w:endnote>
  <w:endnote w:type="continuationSeparator" w:id="0">
    <w:p w14:paraId="641EB153" w14:textId="77777777" w:rsidR="003A1DEC" w:rsidRDefault="00CE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689"/>
      <w:docPartObj>
        <w:docPartGallery w:val="Page Numbers (Bottom of Page)"/>
        <w:docPartUnique/>
      </w:docPartObj>
    </w:sdtPr>
    <w:sdtEndPr/>
    <w:sdtContent>
      <w:p w14:paraId="49396D32" w14:textId="6F9A528F" w:rsidR="00CE42C4" w:rsidRDefault="00CE42C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9EF873" w14:textId="77777777" w:rsidR="00CE42C4" w:rsidRDefault="00CE42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A14A" w14:textId="77777777" w:rsidR="003A1DEC" w:rsidRDefault="00CE42C4">
      <w:pPr>
        <w:spacing w:after="0" w:line="240" w:lineRule="auto"/>
      </w:pPr>
      <w:r>
        <w:separator/>
      </w:r>
    </w:p>
  </w:footnote>
  <w:footnote w:type="continuationSeparator" w:id="0">
    <w:p w14:paraId="045CDE65" w14:textId="77777777" w:rsidR="003A1DEC" w:rsidRDefault="00CE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71"/>
    </w:tblGrid>
    <w:tr w:rsidR="002D0923" w14:paraId="7AFE030F" w14:textId="77777777" w:rsidTr="002D0923">
      <w:tc>
        <w:tcPr>
          <w:tcW w:w="6091" w:type="dxa"/>
        </w:tcPr>
        <w:p w14:paraId="45A5CB04" w14:textId="545501FB" w:rsidR="002D0923" w:rsidRDefault="002D0923">
          <w:pPr>
            <w:pStyle w:val="Kopfzeile"/>
            <w:rPr>
              <w:rFonts w:ascii="Arial" w:hAnsi="Arial" w:cs="Arial"/>
              <w:sz w:val="20"/>
            </w:rPr>
          </w:pPr>
          <w:r w:rsidRPr="00CE42C4">
            <w:rPr>
              <w:rFonts w:ascii="Arial" w:hAnsi="Arial" w:cs="Arial"/>
              <w:sz w:val="18"/>
              <w:szCs w:val="20"/>
            </w:rPr>
            <w:t>Mikroschadstoffreduktion auf Kläranlagen in NRW:</w:t>
          </w:r>
          <w:r w:rsidRPr="00CE42C4">
            <w:rPr>
              <w:rFonts w:ascii="Arial" w:hAnsi="Arial" w:cs="Arial"/>
              <w:sz w:val="18"/>
              <w:szCs w:val="20"/>
            </w:rPr>
            <w:br/>
            <w:t>Grundlagen für Planung, Betrieb und Überwachung</w:t>
          </w:r>
          <w:r w:rsidR="00CE42C4" w:rsidRPr="00CE42C4">
            <w:rPr>
              <w:rFonts w:ascii="Arial" w:hAnsi="Arial" w:cs="Arial"/>
              <w:sz w:val="18"/>
              <w:szCs w:val="20"/>
            </w:rPr>
            <w:t xml:space="preserve"> – Anlage 1</w:t>
          </w:r>
        </w:p>
      </w:tc>
      <w:tc>
        <w:tcPr>
          <w:tcW w:w="2971" w:type="dxa"/>
        </w:tcPr>
        <w:p w14:paraId="046A3EF6" w14:textId="30451528" w:rsidR="002D0923" w:rsidRDefault="002D0923" w:rsidP="002D0923">
          <w:pPr>
            <w:pStyle w:val="Kopfzeile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drawing>
              <wp:inline distT="0" distB="0" distL="0" distR="0" wp14:anchorId="65496AAF" wp14:editId="62E1C01C">
                <wp:extent cx="1314314" cy="361754"/>
                <wp:effectExtent l="0" t="0" r="635" b="635"/>
                <wp:docPr id="1" name="Grafik 1" descr="Ein Bild, das Text, Schrift, Logo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, Schrift, Logo, Symbol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46" cy="385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0DB095" w14:textId="77777777" w:rsidR="003A1DEC" w:rsidRDefault="003A1DEC" w:rsidP="002D0923">
    <w:pPr>
      <w:pStyle w:val="Kopfzeile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1E4"/>
    <w:multiLevelType w:val="hybridMultilevel"/>
    <w:tmpl w:val="AF445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7DD7"/>
    <w:multiLevelType w:val="hybridMultilevel"/>
    <w:tmpl w:val="E42E3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3366C"/>
    <w:multiLevelType w:val="hybridMultilevel"/>
    <w:tmpl w:val="FB5A6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00286"/>
    <w:multiLevelType w:val="hybridMultilevel"/>
    <w:tmpl w:val="FDFC7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057CA"/>
    <w:multiLevelType w:val="hybridMultilevel"/>
    <w:tmpl w:val="4ADAF460"/>
    <w:lvl w:ilvl="0" w:tplc="67208C74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22AD"/>
    <w:multiLevelType w:val="hybridMultilevel"/>
    <w:tmpl w:val="09B6F65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021423">
    <w:abstractNumId w:val="5"/>
  </w:num>
  <w:num w:numId="2" w16cid:durableId="1814175289">
    <w:abstractNumId w:val="3"/>
  </w:num>
  <w:num w:numId="3" w16cid:durableId="1617132943">
    <w:abstractNumId w:val="1"/>
  </w:num>
  <w:num w:numId="4" w16cid:durableId="156314678">
    <w:abstractNumId w:val="0"/>
  </w:num>
  <w:num w:numId="5" w16cid:durableId="2127039789">
    <w:abstractNumId w:val="2"/>
  </w:num>
  <w:num w:numId="6" w16cid:durableId="768625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EC"/>
    <w:rsid w:val="002C3800"/>
    <w:rsid w:val="002D0923"/>
    <w:rsid w:val="003A1DEC"/>
    <w:rsid w:val="00576288"/>
    <w:rsid w:val="007F3367"/>
    <w:rsid w:val="007F6254"/>
    <w:rsid w:val="00812651"/>
    <w:rsid w:val="00951D4B"/>
    <w:rsid w:val="00A566AB"/>
    <w:rsid w:val="00CE42C4"/>
    <w:rsid w:val="00C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92E9A0"/>
  <w15:chartTrackingRefBased/>
  <w15:docId w15:val="{52D0C9DA-3347-4226-9340-406DFA41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6"/>
      </w:numPr>
      <w:spacing w:before="360" w:after="120"/>
      <w:ind w:left="357" w:hanging="357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sz w:val="24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  <w:rPr>
      <w:rFonts w:asciiTheme="majorHAnsi" w:hAnsiTheme="majorHAnsi"/>
      <w:color w:val="2F5496" w:themeColor="accent1" w:themeShade="BF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2D0923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2D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F7A5-01AD-4391-8758-96A21D91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Kracht, Deike</dc:creator>
  <cp:keywords/>
  <dc:description/>
  <cp:lastModifiedBy>Evers, Mareike</cp:lastModifiedBy>
  <cp:revision>3</cp:revision>
  <dcterms:created xsi:type="dcterms:W3CDTF">2025-12-02T13:08:00Z</dcterms:created>
  <dcterms:modified xsi:type="dcterms:W3CDTF">2025-12-03T09:12:00Z</dcterms:modified>
</cp:coreProperties>
</file>